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102870</wp:posOffset>
                </wp:positionV>
                <wp:extent cx="2338070" cy="51879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070" cy="518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210/HS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341982515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4.1pt;height:40.85pt;mso-wrap-distance-left:9.05pt;mso-wrap-distance-right:9.05pt;mso-wrap-distance-top:0pt;mso-wrap-distance-bottom:0pt;margin-top:8.1pt;mso-position-vertical-relative:text;margin-left:292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210/HS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71589664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57785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4.55pt" to="131.9pt,4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THAY ĐỔI NGƯỜI ĐẠI DIỆN GIÁM SÁT NGƯỜI CHƯA THÀNH NIÊN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và 168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140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thấy </w:t>
      </w:r>
      <w:r>
        <w:rPr>
          <w:rFonts w:eastAsia="Times New Roman" w:cs="Times New Roman" w:ascii="Times New Roman" w:hAnsi="Times New Roman"/>
          <w:szCs w:val="28"/>
        </w:rPr>
        <w:t>ông/bà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</w:rPr>
        <w:t>… là người đại diện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giám sát </w:t>
      </w:r>
      <w:r>
        <w:rPr>
          <w:rFonts w:eastAsia="Times New Roman" w:cs="Times New Roman" w:ascii="Times New Roman" w:hAnsi="Times New Roman"/>
          <w:szCs w:val="28"/>
        </w:rPr>
        <w:t>người chưa thành niên</w:t>
      </w:r>
      <w:r>
        <w:rPr>
          <w:rFonts w:eastAsia="Times New Roman" w:cs="Times New Roman" w:ascii="Times New Roman" w:hAnsi="Times New Roman"/>
          <w:szCs w:val="28"/>
          <w:vertAlign w:val="superscript"/>
        </w:rPr>
        <w:t xml:space="preserve"> </w:t>
      </w:r>
      <w:r>
        <w:rPr>
          <w:rFonts w:eastAsia="Times New Roman" w:cs="Times New Roman" w:ascii="Times New Roman" w:hAnsi="Times New Roman"/>
          <w:spacing w:val="2"/>
          <w:szCs w:val="28"/>
        </w:rPr>
        <w:t xml:space="preserve">theo Quyết định áp dụng biện pháp giám sát bởi người đại diện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của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Cs w:val="28"/>
        </w:rPr>
        <w:footnoteReference w:id="8"/>
      </w:r>
      <w:r>
        <w:rPr>
          <w:rFonts w:eastAsia="Times New Roman" w:cs="Times New Roman" w:ascii="Times New Roman" w:hAnsi="Times New Roman"/>
          <w:szCs w:val="28"/>
        </w:rPr>
        <w:t xml:space="preserve"> … </w:t>
      </w:r>
      <w:r>
        <w:rPr>
          <w:rFonts w:cs="Times New Roman" w:ascii="Times New Roman" w:hAnsi="Times New Roman"/>
        </w:rPr>
        <w:t>không có điều kiện để tiếp tục thực hiện nhiệm vụ/không hoàn thành nhiệm vụ được giao,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z w:val="26"/>
        </w:rPr>
      </w:pPr>
      <w:r>
        <w:rPr>
          <w:rFonts w:cs="Times New Roman" w:ascii="Times New Roman" w:hAnsi="Times New Roman"/>
          <w:b/>
          <w:szCs w:val="28"/>
        </w:rPr>
        <w:t>Điều 1.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eastAsia="Times New Roman" w:cs="Times New Roman" w:ascii="Times New Roman" w:hAnsi="Times New Roman"/>
          <w:szCs w:val="28"/>
        </w:rPr>
        <w:t>Giao cho ông/bà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zCs w:val="28"/>
        </w:rPr>
        <w:footnoteReference w:id="9"/>
      </w:r>
      <w:r>
        <w:rPr>
          <w:rFonts w:eastAsia="Times New Roman" w:cs="Times New Roman" w:ascii="Times New Roman" w:hAnsi="Times New Roman"/>
          <w:szCs w:val="28"/>
        </w:rPr>
        <w:t>… thay cho ông/bà</w:t>
      </w:r>
      <w:r>
        <w:rPr>
          <w:rFonts w:eastAsia="Times New Roman" w:cs="Times New Roman" w:ascii="Times New Roman" w:hAnsi="Times New Roman"/>
          <w:szCs w:val="28"/>
          <w:vertAlign w:val="superscript"/>
        </w:rPr>
        <w:t>6</w:t>
      </w:r>
      <w:r>
        <w:rPr>
          <w:rFonts w:eastAsia="Times New Roman" w:cs="Times New Roman" w:ascii="Times New Roman" w:hAnsi="Times New Roman"/>
          <w:szCs w:val="28"/>
        </w:rPr>
        <w:t>… là người đại diện thực hiện giám sát người chưa thành niên:</w:t>
      </w:r>
    </w:p>
    <w:p>
      <w:pPr>
        <w:pStyle w:val="Normal"/>
        <w:tabs>
          <w:tab w:val="clear" w:pos="720"/>
          <w:tab w:val="left" w:pos="9639" w:leader="dot"/>
        </w:tabs>
        <w:ind w:firstLine="567" w:end="0"/>
        <w:jc w:val="both"/>
        <w:rPr/>
      </w:pPr>
      <w:r>
        <w:rPr>
          <w:rFonts w:cs="Times New Roman" w:ascii="Times New Roman" w:hAnsi="Times New Roman"/>
        </w:rPr>
        <w:t>Họ tên: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{{recipients.personLine2}}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{{recipients.personLine3}}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{{recipients.personLine4}}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{{recipients.personLine5}}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{{recipients.personLine6}}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{{recipients.personLine7}}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{{recipients.personLine8}}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{{recipients.personLine9}}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{{recipients.personLine10}}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Là bị can trong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 xml:space="preserve">… bị khởi tố về tội … quy định tại khoản … Điều … của Bộ luật Hình sự. 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 xml:space="preserve">Biện pháp giám sát bởi người đại diện … được áp dụng trong thời hạn …, kể từ ngày … tháng … năm … đến ngày … tháng … năm….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 xml:space="preserve">Điều 2. </w:t>
      </w:r>
      <w:r>
        <w:rPr>
          <w:rFonts w:eastAsia="Times New Roman" w:cs="Times New Roman" w:ascii="Times New Roman" w:hAnsi="Times New Roman"/>
          <w:spacing w:val="-2"/>
          <w:szCs w:val="28"/>
        </w:rPr>
        <w:t>Ông/bà</w:t>
      </w:r>
      <w:r>
        <w:rPr>
          <w:rFonts w:eastAsia="Times New Roman" w:cs="Times New Roman" w:ascii="Times New Roman" w:hAnsi="Times New Roman"/>
          <w:spacing w:val="-2"/>
          <w:szCs w:val="28"/>
          <w:vertAlign w:val="superscript"/>
        </w:rPr>
        <w:t>8</w:t>
      </w:r>
      <w:r>
        <w:rPr>
          <w:rFonts w:eastAsia="Times New Roman" w:cs="Times New Roman" w:ascii="Times New Roman" w:hAnsi="Times New Roman"/>
          <w:szCs w:val="28"/>
        </w:rPr>
        <w:t xml:space="preserve">… </w:t>
      </w:r>
      <w:r>
        <w:rPr>
          <w:rFonts w:eastAsia="Times New Roman" w:cs="Times New Roman" w:ascii="Times New Roman" w:hAnsi="Times New Roman"/>
          <w:spacing w:val="-2"/>
          <w:szCs w:val="28"/>
        </w:rPr>
        <w:t>có nghĩa vụ giám sát chặt chẽ bị can</w:t>
      </w:r>
      <w:r>
        <w:rPr>
          <w:rFonts w:eastAsia="Times New Roman" w:cs="Times New Roman" w:ascii="Times New Roman" w:hAnsi="Times New Roman"/>
          <w:szCs w:val="28"/>
        </w:rPr>
        <w:t xml:space="preserve">, </w:t>
      </w:r>
      <w:r>
        <w:rPr>
          <w:rFonts w:cs="Times New Roman" w:ascii="Times New Roman" w:hAnsi="Times New Roman"/>
          <w:szCs w:val="28"/>
          <w:lang w:val="vi-VN"/>
        </w:rPr>
        <w:t>theo dõi tư cách, đạo đức và giáo dục</w:t>
      </w:r>
      <w:r>
        <w:rPr>
          <w:rFonts w:cs="Times New Roman" w:ascii="Times New Roman" w:hAnsi="Times New Roman"/>
          <w:szCs w:val="28"/>
        </w:rPr>
        <w:t xml:space="preserve"> bị can</w:t>
      </w:r>
      <w:r>
        <w:rPr>
          <w:rFonts w:cs="Times New Roman" w:ascii="Times New Roman" w:hAnsi="Times New Roman"/>
          <w:szCs w:val="28"/>
          <w:lang w:val="vi-VN"/>
        </w:rPr>
        <w:t>.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80"/>
        <w:ind w:firstLine="567" w:end="0"/>
        <w:jc w:val="both"/>
        <w:rPr/>
      </w:pPr>
      <w:r>
        <w:rPr>
          <w:rFonts w:cs="Times New Roman" w:ascii="Times New Roman" w:hAnsi="Times New Roman"/>
          <w:szCs w:val="28"/>
          <w:lang w:val="vi-VN"/>
        </w:rPr>
        <w:t xml:space="preserve">Nếu chưa được sự đồng ý của </w:t>
      </w:r>
      <w:r>
        <w:rPr>
          <w:rFonts w:cs="Times New Roman" w:ascii="Times New Roman" w:hAnsi="Times New Roman"/>
          <w:bCs/>
        </w:rPr>
        <w:t>Ủy ban nhân dân</w:t>
      </w:r>
      <w:r>
        <w:rPr>
          <w:rStyle w:val="FootnoteCharacters"/>
          <w:rStyle w:val="FootnoteReference"/>
          <w:rFonts w:cs="Times New Roman" w:ascii="Times New Roman" w:hAnsi="Times New Roman"/>
          <w:bCs/>
        </w:rPr>
        <w:footnoteReference w:id="12"/>
      </w:r>
      <w:r>
        <w:rPr>
          <w:rFonts w:cs="Times New Roman" w:ascii="Times New Roman" w:hAnsi="Times New Roman"/>
          <w:bCs/>
        </w:rPr>
        <w:t xml:space="preserve">… </w:t>
      </w:r>
      <w:r>
        <w:rPr>
          <w:rFonts w:cs="Times New Roman" w:ascii="Times New Roman" w:hAnsi="Times New Roman"/>
          <w:szCs w:val="28"/>
          <w:lang w:val="vi-VN"/>
        </w:rPr>
        <w:t xml:space="preserve">và Giấy phép của </w:t>
      </w:r>
      <w:r>
        <w:rPr>
          <w:rFonts w:cs="Times New Roman" w:ascii="Times New Roman" w:hAnsi="Times New Roman"/>
          <w:bCs/>
        </w:rPr>
        <w:t>Viện kiểm sát</w:t>
      </w:r>
      <w:r>
        <w:rPr>
          <w:rFonts w:cs="Times New Roman" w:ascii="Times New Roman" w:hAnsi="Times New Roman"/>
          <w:bCs/>
          <w:vertAlign w:val="superscript"/>
        </w:rPr>
        <w:t>2</w:t>
      </w:r>
      <w:r>
        <w:rPr>
          <w:rFonts w:cs="Times New Roman" w:ascii="Times New Roman" w:hAnsi="Times New Roman"/>
          <w:bCs/>
        </w:rPr>
        <w:t xml:space="preserve">… </w:t>
      </w:r>
      <w:r>
        <w:rPr>
          <w:rFonts w:cs="Times New Roman" w:ascii="Times New Roman" w:hAnsi="Times New Roman"/>
          <w:szCs w:val="28"/>
          <w:lang w:val="vi-VN"/>
        </w:rPr>
        <w:t>thì bị can không được đi khỏi nơi cư trú. Nếu bị can vi phạm nghĩa vụ cam đoan, ông/bà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  <w:lang w:val="vi-VN"/>
        </w:rPr>
        <w:t>…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  <w:lang w:val="vi-VN"/>
        </w:rPr>
        <w:t xml:space="preserve">phải kịp thời thông báo cho </w:t>
      </w:r>
      <w:r>
        <w:rPr>
          <w:rFonts w:cs="Times New Roman" w:ascii="Times New Roman" w:hAnsi="Times New Roman"/>
          <w:bCs/>
        </w:rPr>
        <w:t>Ủy ban nhân dân</w:t>
      </w:r>
      <w:r>
        <w:rPr>
          <w:rFonts w:cs="Times New Roman" w:ascii="Times New Roman" w:hAnsi="Times New Roman"/>
          <w:bCs/>
          <w:vertAlign w:val="superscript"/>
        </w:rPr>
        <w:t>11</w:t>
      </w:r>
      <w:r>
        <w:rPr>
          <w:rFonts w:cs="Times New Roman" w:ascii="Times New Roman" w:hAnsi="Times New Roman"/>
          <w:bCs/>
        </w:rPr>
        <w:t xml:space="preserve">… </w:t>
      </w:r>
      <w:r>
        <w:rPr>
          <w:rFonts w:cs="Times New Roman" w:ascii="Times New Roman" w:hAnsi="Times New Roman"/>
          <w:szCs w:val="28"/>
          <w:lang w:val="vi-VN"/>
        </w:rPr>
        <w:t xml:space="preserve">về việc vi phạm và phối hợp với cơ quan có thẩm quyền để có biện pháp ngăn chặn, xử lý kịp thời. </w:t>
      </w:r>
      <w:r>
        <w:rPr>
          <w:rFonts w:cs="Times New Roman" w:ascii="Times New Roman" w:hAnsi="Times New Roman"/>
          <w:bCs/>
        </w:rPr>
        <w:t>Ủy ban nhân dân</w:t>
      </w:r>
      <w:r>
        <w:rPr>
          <w:rFonts w:cs="Times New Roman" w:ascii="Times New Roman" w:hAnsi="Times New Roman"/>
          <w:bCs/>
          <w:vertAlign w:val="superscript"/>
        </w:rPr>
        <w:t>11</w:t>
      </w:r>
      <w:r>
        <w:rPr>
          <w:rFonts w:cs="Times New Roman" w:ascii="Times New Roman" w:hAnsi="Times New Roman"/>
          <w:bCs/>
        </w:rPr>
        <w:t xml:space="preserve">… </w:t>
      </w:r>
      <w:r>
        <w:rPr>
          <w:rFonts w:cs="Times New Roman" w:ascii="Times New Roman" w:hAnsi="Times New Roman"/>
          <w:szCs w:val="28"/>
          <w:lang w:val="vi-VN"/>
        </w:rPr>
        <w:t xml:space="preserve">phải báo ngay cho </w:t>
      </w:r>
      <w:r>
        <w:rPr>
          <w:rFonts w:cs="Times New Roman" w:ascii="Times New Roman" w:hAnsi="Times New Roman"/>
          <w:bCs/>
        </w:rPr>
        <w:t>Viện kiểm sát</w:t>
      </w:r>
      <w:r>
        <w:rPr>
          <w:rFonts w:cs="Times New Roman" w:ascii="Times New Roman" w:hAnsi="Times New Roman"/>
          <w:bCs/>
          <w:vertAlign w:val="superscript"/>
        </w:rPr>
        <w:t>2</w:t>
      </w:r>
      <w:r>
        <w:rPr>
          <w:rFonts w:cs="Times New Roman" w:ascii="Times New Roman" w:hAnsi="Times New Roman"/>
          <w:bCs/>
        </w:rPr>
        <w:t xml:space="preserve">… </w:t>
      </w:r>
      <w:r>
        <w:rPr>
          <w:rFonts w:cs="Times New Roman" w:ascii="Times New Roman" w:hAnsi="Times New Roman"/>
          <w:szCs w:val="28"/>
          <w:lang w:val="vi-VN"/>
        </w:rPr>
        <w:t>để xử lý theo thẩm quyền. Điện thoại liên hệ số: …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  <w:lang w:val="vi-VN"/>
        </w:rPr>
        <w:t>, gặp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  <w:lang w:val="vi-VN"/>
        </w:rPr>
        <w:footnoteReference w:id="13"/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  <w:szCs w:val="28"/>
          <w:lang w:val="vi-VN"/>
        </w:rPr>
        <w:t xml:space="preserve"> để giải quyết.                                           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zCs w:val="28"/>
          <w:lang w:val="vi-VN"/>
        </w:rPr>
      </w:pPr>
      <w:r>
        <w:rPr>
          <w:rFonts w:cs="Times New Roman" w:ascii="Times New Roman" w:hAnsi="Times New Roman"/>
          <w:szCs w:val="28"/>
          <w:lang w:val="vi-VN"/>
        </w:rPr>
        <w:t xml:space="preserve">Trường hợp bị can vi phạm nghĩa vụ cam đoan quy định tại khoản 2 Điều 140 </w:t>
      </w:r>
      <w:r>
        <w:rPr>
          <w:rFonts w:cs="Times New Roman" w:ascii="Times New Roman" w:hAnsi="Times New Roman"/>
          <w:szCs w:val="28"/>
        </w:rPr>
        <w:t xml:space="preserve">của </w:t>
      </w:r>
      <w:r>
        <w:rPr>
          <w:rFonts w:cs="Times New Roman" w:ascii="Times New Roman" w:hAnsi="Times New Roman"/>
          <w:szCs w:val="28"/>
          <w:lang w:val="vi-VN"/>
        </w:rPr>
        <w:t>Luật Tư pháp người chưa thành niên thì có thể bị tạm giam.</w:t>
      </w:r>
      <w:r>
        <w:rPr>
          <w:rFonts w:cs="Times New Roman" w:ascii="Times New Roman" w:hAnsi="Times New Roman"/>
        </w:rPr>
        <w:t>./.</w:t>
      </w:r>
    </w:p>
    <w:p>
      <w:pPr>
        <w:pStyle w:val="Normal"/>
        <w:jc w:val="both"/>
        <w:rPr>
          <w:rFonts w:ascii="Times New Roman" w:hAnsi="Times New Roman" w:eastAsia="Times New Roman" w:cs="Times New Roman"/>
          <w:szCs w:val="28"/>
          <w:lang w:val="vi-VN"/>
        </w:rPr>
      </w:pPr>
      <w:r>
        <w:rPr>
          <w:rFonts w:eastAsia="Times New Roman" w:cs="Times New Roman" w:ascii="Times New Roman" w:hAnsi="Times New Roman"/>
          <w:szCs w:val="28"/>
          <w:lang w:val="vi-VN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4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{{recipients.personLine11}}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 xml:space="preserve">Quyết định </w:t>
      </w:r>
      <w:r>
        <w:rPr>
          <w:rFonts w:cs="Times New Roman" w:ascii="Times New Roman" w:hAnsi="Times New Roman"/>
          <w:lang w:val="vi-VN"/>
        </w:rPr>
        <w:t>áp dụng biện pháp giám sát bởi người đại diện trong giai đoạn truy tố thì căn cứ Điều 236</w:t>
      </w:r>
      <w:r>
        <w:rPr>
          <w:rFonts w:cs="Times New Roman" w:ascii="Times New Roman" w:hAnsi="Times New Roman"/>
          <w:lang w:val="en-US"/>
        </w:rPr>
        <w:t xml:space="preserve"> và Điều 241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đại diện bị thay đổi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áp dụng biện pháp giám sát bởi người đại diện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đại diện được giao giám sát người 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 xml:space="preserve">chưa thành niên 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bCs/>
        </w:rPr>
        <w:t>Ủy ban nhân dân</w:t>
      </w:r>
      <w:r>
        <w:rPr>
          <w:rFonts w:cs="Times New Roman" w:ascii="Times New Roman" w:hAnsi="Times New Roman"/>
          <w:bCs/>
          <w:lang w:val="en-US"/>
        </w:rPr>
        <w:t xml:space="preserve"> cấp xã</w:t>
      </w:r>
      <w:r>
        <w:rPr>
          <w:rFonts w:cs="Times New Roman" w:ascii="Times New Roman" w:hAnsi="Times New Roman"/>
          <w:bCs/>
        </w:rPr>
        <w:t xml:space="preserve"> nơi </w:t>
      </w:r>
      <w:r>
        <w:rPr>
          <w:rFonts w:cs="Times New Roman" w:ascii="Times New Roman" w:hAnsi="Times New Roman"/>
        </w:rPr>
        <w:t>bị can</w:t>
      </w:r>
      <w:r>
        <w:rPr>
          <w:rFonts w:cs="Times New Roman" w:ascii="Times New Roman" w:hAnsi="Times New Roman"/>
          <w:bCs/>
        </w:rPr>
        <w:t xml:space="preserve"> cư trú</w:t>
      </w:r>
    </w:p>
  </w:footnote>
  <w:footnote w:id="1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tên, chức danh người được phân công giải quyết vụ án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2025-08-12T05:06:00Z</dcterms:created>
  <dc:creator>PC</dc:creator>
  <dc:description/>
  <cp:keywords/>
  <dc:language>en-GB</dc:language>
  <cp:lastModifiedBy>ADMIN</cp:lastModifiedBy>
  <dcterms:modified xsi:type="dcterms:W3CDTF">2026-01-16T13:37:00Z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