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1E3D"/>
        <w:spacing w:before="0" w:after="0"/>
      </w:pPr>
      <w:r>
        <w:rPr>
          <w:sz w:val="8"/>
        </w:rPr>
        <w:t xml:space="preserve">                                                                                </w:t>
      </w:r>
    </w:p>
    <w:p/>
    <w:p>
      <w:pPr>
        <w:spacing w:before="480" w:after="160"/>
        <w:jc w:val="center"/>
      </w:pPr>
      <w:r>
        <w:rPr>
          <w:b/>
          <w:color w:val="0F1E3D"/>
          <w:sz w:val="56"/>
        </w:rPr>
        <w:t>PARKLY</w:t>
      </w:r>
    </w:p>
    <w:p>
      <w:pPr>
        <w:spacing w:before="80" w:after="80"/>
        <w:jc w:val="center"/>
      </w:pPr>
      <w:r>
        <w:rPr>
          <w:color w:val="1D4ED6"/>
          <w:sz w:val="28"/>
        </w:rPr>
        <w:t>Architecture Decision Records</w:t>
        <w:br/>
        <w:t>Core Platform Decisions &amp; Rationale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Snapshot Date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07 April 2026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Release Baseline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backend-rc1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Version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v12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Status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Approved</w:t>
            </w:r>
          </w:p>
        </w:tc>
      </w:tr>
    </w:tbl>
    <w:p/>
    <w:p>
      <w:pPr>
        <w:shd w:val="clear" w:color="auto" w:fill="1D4ED6"/>
        <w:spacing w:before="360" w:after="0"/>
      </w:pPr>
      <w:r>
        <w:rPr>
          <w:sz w:val="12"/>
        </w:rPr>
        <w:t xml:space="preserve">                                                                                </w:t>
      </w:r>
    </w:p>
    <w:p>
      <w:r>
        <w:br w:type="page"/>
      </w:r>
    </w:p>
    <w:p>
      <w:pPr>
        <w:spacing w:before="80" w:after="80"/>
        <w:pBdr>
          <w:bottom w:val="single" w:sz="6" w:space="1" w:color="1D4ED6"/>
        </w:pBdr>
      </w:pPr>
    </w:p>
    <w:p>
      <w:pPr>
        <w:spacing w:before="280" w:after="80"/>
        <w:pBdr>
          <w:top w:val="single" w:sz="4" w:space="1" w:color="1D4ED6"/>
        </w:pBdr>
      </w:pPr>
      <w:r>
        <w:rPr>
          <w:b/>
          <w:color w:val="0F1E3D"/>
          <w:sz w:val="32"/>
        </w:rPr>
        <w:t>Parkly Architecture Decision Records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Last reviewed: 2026-03-30</w:t>
      </w:r>
    </w:p>
    <w:p>
      <w:pPr>
        <w:spacing w:before="40" w:after="80"/>
      </w:pPr>
      <w:r>
        <w:rPr>
          <w:color w:val="1A1A2E"/>
          <w:sz w:val="20"/>
        </w:rPr>
        <w:t>Status legend: accepted unless otherwise noted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ADR-001: Contract-first monorepo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Date: 2026-03-30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Decision: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Shared transport contracts live in `packages/contracts`.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Backend and web both consume the same Zod-defined canonical schemas.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Route behavior, RBAC, and frontend page access must align with those shared contracts.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Why: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Prevent backend and frontend drift.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Keep API, UI route policy, and test fixtures synchronized.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Make CI failures surface real contract mismatches instead of integration guesswork.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ADR-002: Profile-based deployment bootstrap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Date: 2026-03-30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Decision: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Deployment preparation is profile-driven through `local-dev`, `demo`, and `release-candidate`.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Bootstrap and verification are executable through repository scripts, not tribal runbooks.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The quality gate may reuse already-running dependencies when verification proves they are healthy.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Why: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Reduces environment drift.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Makes CI and local release rehearsal converge on the same flow.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Allows deterministic setup for Playwright and integration checks.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ADR-003: Outbox over inline external delivery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Date: 2026-03-30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Decision: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Business writes commit first.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External delivery is staged through `gate_event_outbox` and related delivery tracking.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Why: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Preserves transactional correctness.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Prevents slow downstream targets from blocking lane operations.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Creates measurable backlog, retry, and failure signals.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ADR-004: Redis-first coordination with graceful fallback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Date: 2026-03-30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Decision: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Lane coordination, selected caches, and queue orchestration use Redis first.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Critical gate behavior degrades gracefully when Redis is unavailable where fallback logic exists.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Why: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Lower contention than database-only locking.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Better fit for distributed coordination and short-lived operational state.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Metrics can expose lock wait time, cache misses, and Redis health directly.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ADR-005: Canonical user auth separated from device and internal auth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Date: 2026-03-30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Decision: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User sessions use dedicated auth routes and role-aware session policy.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Device capture and device upload use signed request verification.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Internal service integration uses its own rotating secret model.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Legacy role tokens remain compatibility-only, not the primary enterprise path.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Why: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Different callers have different trust boundaries.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Rotation, replay defense, and auditability are easier when auth planes are separated.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Prevents mobile or device failures from being treated as normal user-session failures.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ADR-006: BIGINT internal keys with external string identifiers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Date: 2026-03-30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Decision: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Internal relational joins use `BIGINT` primary keys.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External APIs expose stable string identifiers where appropriate.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Why: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Better InnoDB locality and smaller indexes.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Faster joins and simpler migration evolution for high-churn relational tables.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ADR-007: Deterministic release gate must test the built web artifact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Date: 2026-03-30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Decision: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Unit tests alone are insufficient for release sign-off.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Web E2E must run against the built SPA artifact, not only against a dev server.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The root gate is `pnpm test:full`.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Why: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Production bundle regressions are different from hot-reload development failures.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The repository already had production-only issues that only surfaced during built-asset E2E.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This approach gives one canonical release command for CI and local validation.</w:t>
      </w:r>
    </w:p>
    <w:p>
      <w:pPr>
        <w:spacing w:before="0"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