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Architecture Document</w:t>
        <w:br/>
        <w:t>Runtime Topology, Bounded Contexts, and Deployment Profiles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0" w:after="120"/>
        <w:shd w:val="clear" w:color="auto" w:fill="EFF6FF"/>
      </w:pPr>
      <w:r>
        <w:rPr>
          <w:b/>
          <w:color w:val="1D4ED6"/>
          <w:sz w:val="18"/>
        </w:rPr>
        <w:t xml:space="preserve">SNAPSHOT  </w:t>
      </w:r>
      <w:r>
        <w:rPr>
          <w:color w:val="1A1A2E"/>
          <w:sz w:val="18"/>
        </w:rPr>
        <w:t>This document is a point-in-time snapshot of the Parkly repository. It captures the current shipped architecture, security posture, data model, deployment shape, observability, and quality gate.</w:t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Architecture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Architecture snapshot date: 2026-03-30</w:t>
      </w:r>
    </w:p>
    <w:p>
      <w:pPr>
        <w:spacing w:before="40" w:after="80"/>
      </w:pPr>
      <w:r>
        <w:rPr>
          <w:color w:val="1A1A2E"/>
          <w:sz w:val="20"/>
        </w:rPr>
        <w:t>This document describes the runtime shape that is currently implemented in the repository.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System Overview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is a monorepo for gate operations, parking monitoring, subscriptions, topology administration, and release-grade operations. The repository is organized around one backend, one web operations console, shared packages, and an optional edge package for local survivability work.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graph TD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subgraph "User Surfaces"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WEB["apps/web - React/Vite operations console"]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MOBILE["Mobile capture pair surface"]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end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subgraph "Core Platform"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API["apps/api - Express API"]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WORKER["apps/api worker and operational scripts"]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end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subgraph "Shared Packages"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CONTRACTS["@parkly/contracts"]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GATECORE["@parkly/gate-core"]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EDGEPKG["@parkly/edge-node"]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end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subgraph "Stateful Dependencies"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MYSQL["MySQL 8.4"]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REDIS["Redis 7.4"]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MINIO["MinIO"]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end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subgraph "Observability"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PROM["Prometheus"]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ALERT["Alertmanager"]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GRAF["Grafana"]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end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WEB --&gt; API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MOBILE --&gt; API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CONTRACTS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GATECORE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WEB --&gt; CONTRACTS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WORKER --&gt; API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MYSQL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REDIS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MINIO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API --&gt; PROM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PROM --&gt; ALERT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GRAF --&gt; PROM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EDGEPKG -. optional integration .-&gt; API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Bounded Contexts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`auth`: user login, refresh, session hygiene, admin session revocation, and password policy.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`gate`: gate sessions, read ingestion, review queue, barrier command lifecycle, lane status, and outbox monitoring.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`dashboard`: aggregate read models for overview, incidents, occupancy, lane health, and subscriptions.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`topology`: site, lane, and device administration plus lane-device mapping.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`subscriptions`: subscription master data, spot assignments, and vehicle assignments.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`parking-live`: current occupancy board, spot detail, and floor or zone filters.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`incidents`: operational incident list, detail, and resolution workflow.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`audit`: append-only action history for privileged operations.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`media`: user uploads and device-signed uploads with local or MinIO storage.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`bulk-import`: enqueue and track administrative import jobs.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`webhooks`: outbound integration endpoints and delivery history.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Layering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Interface layer: Express routes, middleware, SSE channels, and OpenAPI projection.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Application layer: use-case modules under `apps/api/src/modules`.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Domain and policy layer: decision engine, lane flow authority, tariff policy, site-scope rules, and canonical contract validation.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Infrastructure layer: Prisma client, Flyway SQL migrations, Redis coordination, MinIO storage, Prometheus metrics, and shellable operational scripts.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Runtime Data Paths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Gate write path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Device-signed capture or operator action enters the API.</w:t>
      </w:r>
    </w:p>
    <w:p>
      <w:pPr>
        <w:spacing w:before="40" w:after="80"/>
      </w:pPr>
      <w:r>
        <w:rPr>
          <w:color w:val="1A1A2E"/>
          <w:sz w:val="20"/>
        </w:rPr>
        <w:t>2. Auth and signature middleware validates the caller.</w:t>
      </w:r>
    </w:p>
    <w:p>
      <w:pPr>
        <w:spacing w:before="40" w:after="80"/>
      </w:pPr>
      <w:r>
        <w:rPr>
          <w:color w:val="1A1A2E"/>
          <w:sz w:val="20"/>
        </w:rPr>
        <w:t>3. Lane and site scope are resolved.</w:t>
      </w:r>
    </w:p>
    <w:p>
      <w:pPr>
        <w:spacing w:before="40" w:after="80"/>
      </w:pPr>
      <w:r>
        <w:rPr>
          <w:color w:val="1A1A2E"/>
          <w:sz w:val="20"/>
        </w:rPr>
        <w:t>4. Idempotency and lane coordination guard duplicate or conflicting writes.</w:t>
      </w:r>
    </w:p>
    <w:p>
      <w:pPr>
        <w:spacing w:before="40" w:after="80"/>
      </w:pPr>
      <w:r>
        <w:rPr>
          <w:color w:val="1A1A2E"/>
          <w:sz w:val="20"/>
        </w:rPr>
        <w:t>5. Session state, reads, decisions, reviews, incidents, and barrier commands are written to MySQL.</w:t>
      </w:r>
    </w:p>
    <w:p>
      <w:pPr>
        <w:spacing w:before="40" w:after="80"/>
      </w:pPr>
      <w:r>
        <w:rPr>
          <w:color w:val="1A1A2E"/>
          <w:sz w:val="20"/>
        </w:rPr>
        <w:t>6. Read-side status is exposed through REST and SSE.</w:t>
      </w:r>
    </w:p>
    <w:p>
      <w:pPr>
        <w:spacing w:before="40" w:after="80"/>
      </w:pPr>
      <w:r>
        <w:rPr>
          <w:color w:val="1A1A2E"/>
          <w:sz w:val="20"/>
        </w:rPr>
        <w:t>7. Outbound delivery is staged through the outbox instead of inline webhook dispatch.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Operator read path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Web console authenticates through `/api/auth/*`.</w:t>
      </w:r>
    </w:p>
    <w:p>
      <w:pPr>
        <w:spacing w:before="40" w:after="80"/>
      </w:pPr>
      <w:r>
        <w:rPr>
          <w:color w:val="1A1A2E"/>
          <w:sz w:val="20"/>
        </w:rPr>
        <w:t>2. Dashboard and operational pages hydrate from REST snapshots.</w:t>
      </w:r>
    </w:p>
    <w:p>
      <w:pPr>
        <w:spacing w:before="40" w:after="80"/>
      </w:pPr>
      <w:r>
        <w:rPr>
          <w:color w:val="1A1A2E"/>
          <w:sz w:val="20"/>
        </w:rPr>
        <w:t>3. SSE streams provide delta updates for lane status, device health, outbox, incidents, parking live, and gate event feeds.</w:t>
      </w:r>
    </w:p>
    <w:p>
      <w:pPr>
        <w:spacing w:before="40" w:after="80"/>
      </w:pPr>
      <w:r>
        <w:rPr>
          <w:color w:val="1A1A2E"/>
          <w:sz w:val="20"/>
        </w:rPr>
        <w:t>4. Frontend route access is enforced by the same canonical role model used by the backend.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Deployment Profiles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Parkly uses explicit deployment profiles in `apps/api/src/scripts/deployment-profiles.ts`.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 Driver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Compose Services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`local-dev`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Fast developer loop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`LOCAL`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MySQL, Redis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`demo`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Repeatable demo and CI-style smoke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`LOCAL`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MySQL, Redis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`release-candidate`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Production-like local verification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`MINIO`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MySQL, Redis, MinIO</w:t>
            </w:r>
          </w:p>
        </w:tc>
      </w:tr>
    </w:tbl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Observability services are brought up separately through the Compose `observability` profile.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Repository Topology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`apps/api`: Express API, worker jobs, migrations, Prisma schema, and operational scripts.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`apps/web`: React/Vite SPA, Vitest unit tests, and Playwright E2E tests.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`packages/contracts`: canonical Zod contracts and shared transport types.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`packages/gate-core`: shared gate logic and canonical plate helpers.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`packages/edge-node`: optional edge-node package for local survivability controller work.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`infra/docker`: Compose definitions for local platform and observability services.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`infra/observability`: Prometheus, Alertmanager, and Grafana provisioning.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Quality and Release Architecture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CI runs `pnpm test:full` from the repository root.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quality gate bootstraps a selected deployment profile before typecheck, API tests, web tests, and Playwright E2E.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Playwright runs against a built SPA bundle, not a dev server, to catch production-only regressions.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Security scanning is split across dependency review, audit artifact capture, and a separate CodeQL workflow.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