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EasyIOE DHT11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概述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DHT11简介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DHT11是一款有已校准数字信号输出的温湿度传感器。 其精度湿度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±5%RH， 温度±2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℃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，量程湿度20~90%RH， 温度0~50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℃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。体积较小、功耗极低，同类应用中较为常用。产品为4针单排引脚封装，连接方便。</w:t>
      </w:r>
      <w:r>
        <w:object w:dxaOrig="8402" w:dyaOrig="4859">
          <v:rect xmlns:o="urn:schemas-microsoft-com:office:office" xmlns:v="urn:schemas-microsoft-com:vml" id="rectole0000000000" style="width:420.100000pt;height:24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1612"/>
        <w:gridCol w:w="1613"/>
        <w:gridCol w:w="1613"/>
      </w:tblGrid>
      <w:tr>
        <w:trPr>
          <w:trHeight w:val="330" w:hRule="auto"/>
          <w:jc w:val="left"/>
        </w:trPr>
        <w:tc>
          <w:tcPr>
            <w:tcW w:w="1612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pin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8"/>
                <w:shd w:fill="auto" w:val="clear"/>
              </w:rPr>
              <w:t xml:space="preserve">名称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8"/>
                <w:shd w:fill="auto" w:val="clear"/>
              </w:rPr>
              <w:t xml:space="preserve">注释</w:t>
            </w:r>
          </w:p>
        </w:tc>
      </w:tr>
      <w:tr>
        <w:trPr>
          <w:trHeight w:val="330" w:hRule="auto"/>
          <w:jc w:val="left"/>
        </w:trPr>
        <w:tc>
          <w:tcPr>
            <w:tcW w:w="1612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VDD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8"/>
                <w:shd w:fill="auto" w:val="clear"/>
              </w:rPr>
              <w:t xml:space="preserve">供电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 3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8"/>
                <w:shd w:fill="auto" w:val="clear"/>
              </w:rPr>
              <w:t xml:space="preserve">－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5.5VDC</w:t>
            </w:r>
          </w:p>
        </w:tc>
      </w:tr>
      <w:tr>
        <w:trPr>
          <w:trHeight w:val="330" w:hRule="auto"/>
          <w:jc w:val="left"/>
        </w:trPr>
        <w:tc>
          <w:tcPr>
            <w:tcW w:w="1612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8"/>
                <w:shd w:fill="auto" w:val="clear"/>
              </w:rPr>
              <w:t xml:space="preserve">串行数据，单总线</w:t>
            </w:r>
          </w:p>
        </w:tc>
      </w:tr>
      <w:tr>
        <w:trPr>
          <w:trHeight w:val="330" w:hRule="auto"/>
          <w:jc w:val="left"/>
        </w:trPr>
        <w:tc>
          <w:tcPr>
            <w:tcW w:w="1612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NC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8"/>
                <w:shd w:fill="auto" w:val="clear"/>
              </w:rPr>
              <w:t xml:space="preserve">空脚，请悬空</w:t>
            </w:r>
          </w:p>
        </w:tc>
      </w:tr>
      <w:tr>
        <w:trPr>
          <w:trHeight w:val="330" w:hRule="auto"/>
          <w:jc w:val="left"/>
        </w:trPr>
        <w:tc>
          <w:tcPr>
            <w:tcW w:w="1612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GND</w:t>
            </w:r>
          </w:p>
        </w:tc>
        <w:tc>
          <w:tcPr>
            <w:tcW w:w="1613" w:type="dxa"/>
            <w:tcBorders>
              <w:top w:val="single" w:color="e6e6e6" w:sz="6"/>
              <w:left w:val="single" w:color="e6e6e6" w:sz="6"/>
              <w:bottom w:val="single" w:color="e6e6e6" w:sz="6"/>
              <w:right w:val="single" w:color="e6e6e6" w:sz="6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widowControl w:val="false"/>
              <w:spacing w:before="0" w:after="0" w:line="33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18"/>
                <w:shd w:fill="auto" w:val="clear"/>
              </w:rPr>
              <w:t xml:space="preserve">接地，电源负极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Arduino官方库已收录DHT系列传感器的实现。只需从网上下载对应库，添加库文件至项目中，进行调用即可。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实现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一、 准备工作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EasyIOE一片，数据线一根，DHT11温湿度传感器一个，DHT11盾板一块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将DATA接至D2（也可接至其他IO口），其余按表中注释连接。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二、 代码详解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1) 包含需要的库。这里，我们使用专为DHT11而写的精简库。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&lt;dht11.h&gt;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2) 调用dht11库，即更新数据至dht11类中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chk = DHT11.read(</w:t>
      </w:r>
      <w:r>
        <w:rPr>
          <w:rFonts w:ascii="新宋体" w:hAnsi="新宋体" w:cs="新宋体" w:eastAsia="新宋体"/>
          <w:color w:val="6F008A"/>
          <w:spacing w:val="0"/>
          <w:position w:val="0"/>
          <w:sz w:val="19"/>
          <w:shd w:fill="auto" w:val="clear"/>
        </w:rPr>
        <w:t xml:space="preserve">DHT11PIN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新宋体" w:hAnsi="新宋体" w:cs="新宋体" w:eastAsia="新宋体"/>
          <w:color w:val="008000"/>
          <w:spacing w:val="0"/>
          <w:position w:val="0"/>
          <w:sz w:val="19"/>
          <w:shd w:fill="auto" w:val="clear"/>
        </w:rPr>
        <w:t xml:space="preserve">//DHT11PIN为DATA所接IO口,如上文D2,执行后更新数据.chk为发送命令后读数据的结果.0为正确,详细可参考头文件中宏定义.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humidity = DHT11.humidity;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 temperature = DHT11.temperature;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3) 实现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#include &lt;dht.h&gt;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dht DHT;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#define DHT11_PIN D3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void setup()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Serial.begin(115200);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Serial.println("DHT TEST PROGRAM ");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Serial.print("LIBRARY VERSION: ");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Serial.println(DHT_LIB_VERSION);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Serial.println();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Serial.println("Type,\tstatus,\tHumidity (%),\tTemperature (C)");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void loop()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// READ DATA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Serial.print("DHT11, \t");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int chk = DHT.read11(DHT11_PIN);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switch (chk)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  case DHTLIB_OK:  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ab/>
        <w:tab/>
        <w:t xml:space="preserve">Serial.print("OK,\t"); 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  case DHTLIB_ERROR_CHECKSUM: 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ab/>
        <w:tab/>
        <w:t xml:space="preserve">Serial.print("Checksum error,\t"); 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  case DHTLIB_ERROR_TIMEOUT: 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ab/>
        <w:tab/>
        <w:t xml:space="preserve">Serial.print("Time out error,\t"); 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  default: 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ab/>
        <w:tab/>
        <w:t xml:space="preserve">Serial.print("Unknown error,\t"); 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// DISPLAY DATA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Serial.print(DHT.humidity, 1);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Serial.print(",\t");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Serial.println(DHT.temperature, 1);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  delay(2000);</w:t>
      </w:r>
    </w:p>
    <w:p>
      <w:pPr>
        <w:spacing w:before="0" w:after="0" w:line="240"/>
        <w:ind w:right="0" w:left="0" w:firstLine="0"/>
        <w:jc w:val="left"/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</w:pPr>
      <w:r>
        <w:rPr>
          <w:rFonts w:ascii="新宋体" w:hAnsi="新宋体" w:cs="新宋体" w:eastAsia="新宋体"/>
          <w:color w:val="80808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三、 扩展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DHT11时序详解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DATA 用于微处理器与 DHT11之间的通讯和同步,采用单总线数据格式,一次通讯时间4ms左右,数据分小数部分和整数部分,具体格式在下面说明,当前小数部分用于以后扩展,现读出为零.操作流程如下: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一次完整的数据传输为40bit,高位先出。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数据格式: 8bit湿度整数数据 + 8bit湿度小数数据 + 8bit温度整数数据 + 8bit温度小数数据 + 8bit校验和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数据传送正确时校验和数据等于“8bit湿度整数数据+8bit湿度小数数据+8bi温度整数数据+8bit温度小数数据”所得结果的末8位。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用户MCU发送一次开始信号后,DHT11从低功耗模式转换到高速模式,等待主机开始信号结束后,DHT11发送响应信号,送出40bit的数据,并触发一次信号采集,用户可选择读取部分数据.从模式下,DHT11接收到开始信号触发一次温湿度采集,如果没有接收到主机发送开始信号,DHT11不会主动进行温湿度采集.采集数据后转换到低速模式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7973" w:dyaOrig="2074">
          <v:rect xmlns:o="urn:schemas-microsoft-com:office:office" xmlns:v="urn:schemas-microsoft-com:vml" id="rectole0000000001" style="width:398.650000pt;height:10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观察Arduino提供的精简库，发现其丢失了小数部分。有待改进！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