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26C6F">
      <w:pPr>
        <w:jc w:val="center"/>
      </w:pPr>
    </w:p>
    <w:p w14:paraId="715AAD6D">
      <w:pPr>
        <w:jc w:val="center"/>
      </w:pPr>
    </w:p>
    <w:p w14:paraId="68B229CB">
      <w:pPr>
        <w:jc w:val="center"/>
      </w:pPr>
      <w:r>
        <w:drawing>
          <wp:inline distT="0" distB="0" distL="0" distR="0">
            <wp:extent cx="1905000" cy="1905000"/>
            <wp:effectExtent l="0" t="0" r="0" b="0"/>
            <wp:docPr id="12602207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2" name="图形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DA29"/>
    <w:p w14:paraId="52F7D041"/>
    <w:p w14:paraId="1732285E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《</w:t>
      </w:r>
      <w:r>
        <w:rPr>
          <w:rFonts w:hint="eastAsia"/>
          <w:b/>
          <w:bCs/>
          <w:sz w:val="72"/>
          <w:szCs w:val="72"/>
          <w:lang w:val="en-US" w:eastAsia="zh-CN"/>
        </w:rPr>
        <w:t>数据挖掘与数据仓库</w:t>
      </w:r>
      <w:r>
        <w:rPr>
          <w:rFonts w:hint="eastAsia"/>
          <w:b/>
          <w:bCs/>
          <w:sz w:val="72"/>
          <w:szCs w:val="72"/>
        </w:rPr>
        <w:t>》</w:t>
      </w:r>
    </w:p>
    <w:p w14:paraId="3ADAF7CC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实验报告</w:t>
      </w:r>
    </w:p>
    <w:p w14:paraId="031F413C"/>
    <w:p w14:paraId="13D95A5D"/>
    <w:tbl>
      <w:tblPr>
        <w:tblStyle w:val="14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3"/>
        <w:gridCol w:w="5994"/>
      </w:tblGrid>
      <w:tr w14:paraId="64FD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2223" w:type="dxa"/>
          </w:tcPr>
          <w:p w14:paraId="5D74CD8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实验名称</w:t>
            </w:r>
          </w:p>
        </w:tc>
        <w:tc>
          <w:tcPr>
            <w:tcW w:w="5994" w:type="dxa"/>
          </w:tcPr>
          <w:p w14:paraId="68D2A385">
            <w:pPr>
              <w:jc w:val="center"/>
              <w:rPr>
                <w:rFonts w:hint="default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数据预处理</w:t>
            </w:r>
          </w:p>
        </w:tc>
      </w:tr>
      <w:tr w14:paraId="608DA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2223" w:type="dxa"/>
          </w:tcPr>
          <w:p w14:paraId="201ABC52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课程名称</w:t>
            </w:r>
          </w:p>
        </w:tc>
        <w:tc>
          <w:tcPr>
            <w:tcW w:w="5994" w:type="dxa"/>
          </w:tcPr>
          <w:p w14:paraId="3CB756E7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数据挖掘与数据仓库（双语）</w:t>
            </w:r>
          </w:p>
        </w:tc>
      </w:tr>
      <w:tr w14:paraId="78267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  <w:jc w:val="center"/>
        </w:trPr>
        <w:tc>
          <w:tcPr>
            <w:tcW w:w="2223" w:type="dxa"/>
          </w:tcPr>
          <w:p w14:paraId="34277AC9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姓名</w:t>
            </w:r>
          </w:p>
        </w:tc>
        <w:tc>
          <w:tcPr>
            <w:tcW w:w="5994" w:type="dxa"/>
          </w:tcPr>
          <w:p w14:paraId="699E4769">
            <w:pPr>
              <w:jc w:val="center"/>
              <w:rPr>
                <w:rFonts w:hint="default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何霖洁</w:t>
            </w:r>
          </w:p>
        </w:tc>
      </w:tr>
      <w:tr w14:paraId="57C0E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" w:hRule="atLeast"/>
          <w:jc w:val="center"/>
        </w:trPr>
        <w:tc>
          <w:tcPr>
            <w:tcW w:w="2223" w:type="dxa"/>
          </w:tcPr>
          <w:p w14:paraId="6A48F53E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学号</w:t>
            </w:r>
          </w:p>
        </w:tc>
        <w:tc>
          <w:tcPr>
            <w:tcW w:w="5994" w:type="dxa"/>
          </w:tcPr>
          <w:p w14:paraId="0BF52CB5">
            <w:pPr>
              <w:jc w:val="center"/>
              <w:rPr>
                <w:rFonts w:hint="default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2410311413</w:t>
            </w:r>
          </w:p>
        </w:tc>
      </w:tr>
      <w:tr w14:paraId="4019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" w:hRule="atLeast"/>
          <w:jc w:val="center"/>
        </w:trPr>
        <w:tc>
          <w:tcPr>
            <w:tcW w:w="2223" w:type="dxa"/>
          </w:tcPr>
          <w:p w14:paraId="7CF94499">
            <w:pPr>
              <w:jc w:val="center"/>
              <w:rPr>
                <w:rFonts w:hint="default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专业</w:t>
            </w:r>
          </w:p>
        </w:tc>
        <w:tc>
          <w:tcPr>
            <w:tcW w:w="5994" w:type="dxa"/>
          </w:tcPr>
          <w:p w14:paraId="4DBD8186">
            <w:pPr>
              <w:jc w:val="center"/>
              <w:rPr>
                <w:rFonts w:hint="default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计算机科学与技术</w:t>
            </w:r>
          </w:p>
        </w:tc>
      </w:tr>
      <w:tr w14:paraId="6198E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223" w:type="dxa"/>
          </w:tcPr>
          <w:p w14:paraId="73CA8B27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班级</w:t>
            </w:r>
          </w:p>
        </w:tc>
        <w:tc>
          <w:tcPr>
            <w:tcW w:w="5994" w:type="dxa"/>
          </w:tcPr>
          <w:p w14:paraId="3C4942EA">
            <w:pPr>
              <w:jc w:val="center"/>
              <w:rPr>
                <w:rFonts w:hint="default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24计科4班</w:t>
            </w:r>
          </w:p>
        </w:tc>
      </w:tr>
      <w:tr w14:paraId="5432C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" w:hRule="atLeast"/>
          <w:jc w:val="center"/>
        </w:trPr>
        <w:tc>
          <w:tcPr>
            <w:tcW w:w="2223" w:type="dxa"/>
          </w:tcPr>
          <w:p w14:paraId="15693DDE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日期</w:t>
            </w:r>
          </w:p>
        </w:tc>
        <w:tc>
          <w:tcPr>
            <w:tcW w:w="5994" w:type="dxa"/>
          </w:tcPr>
          <w:p w14:paraId="01772E2A">
            <w:pPr>
              <w:jc w:val="center"/>
              <w:rPr>
                <w:rFonts w:hint="default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2026.10.13</w:t>
            </w:r>
          </w:p>
        </w:tc>
      </w:tr>
    </w:tbl>
    <w:p w14:paraId="13FE9C30">
      <w:pPr>
        <w:widowControl/>
        <w:jc w:val="left"/>
      </w:pPr>
    </w:p>
    <w:p w14:paraId="1E04B154">
      <w:pPr>
        <w:widowControl/>
        <w:jc w:val="left"/>
        <w:rPr>
          <w:sz w:val="22"/>
          <w:szCs w:val="21"/>
        </w:rPr>
      </w:pPr>
      <w:r>
        <w:br w:type="page"/>
      </w:r>
    </w:p>
    <w:p w14:paraId="4B429E7F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eastAsia"/>
        </w:rPr>
      </w:pPr>
      <w:bookmarkStart w:id="0" w:name="_Toc25045"/>
      <w:r>
        <w:t>实验一</w:t>
      </w:r>
      <w:r>
        <w:rPr>
          <w:rFonts w:hint="eastAsia"/>
          <w:lang w:eastAsia="zh-CN"/>
        </w:rPr>
        <w:t>：</w:t>
      </w:r>
      <w:r>
        <w:t>数据预处理</w:t>
      </w:r>
      <w:bookmarkEnd w:id="0"/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本实验使用 Wine 数据，按指导书的五个步骤完成预处理操作，并结合实际输出比较各方法的影响。</w:t>
      </w:r>
    </w:p>
    <w:p w14:paraId="4355F750">
      <w:pPr>
        <w:pStyle w:val="3"/>
        <w:keepNext/>
        <w:widowControl/>
        <w:bidi w:val="0"/>
        <w:spacing w:before="200" w:after="140"/>
      </w:pPr>
      <w:bookmarkStart w:id="1" w:name="_Toc24040"/>
      <w:r>
        <w:t>实验目的</w:t>
      </w:r>
      <w:bookmarkEnd w:id="1"/>
    </w:p>
    <w:p w14:paraId="7461DD8B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1. 理解数据预处理在数据挖掘全流程中的基础性地位</w:t>
      </w:r>
    </w:p>
    <w:p w14:paraId="1692596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2. 掌握缺失值检测与处理（删除法、均值填充、中位数填充、KNN 插补）</w:t>
      </w:r>
    </w:p>
    <w:p w14:paraId="65F38FB6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3. 掌握异常值识别与处理（箱线图法、Z-score 法、IQR 法）</w:t>
      </w:r>
    </w:p>
    <w:p w14:paraId="7AE685E7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4. 掌握数据规范化方法（Min-Max 标准化、Z-score 标准化）</w:t>
      </w:r>
    </w:p>
    <w:p w14:paraId="6EB4B36E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5. 掌握数据离散化与特征编码（独热编码、标签编码）</w:t>
      </w:r>
    </w:p>
    <w:p w14:paraId="1A241B41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6. 了解特征选择的基本方法</w:t>
      </w:r>
    </w:p>
    <w:p w14:paraId="772F6526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hint="eastAsia" w:ascii="Calibri" w:hAnsi="Calibri" w:eastAsia="宋体"/>
          <w:b w:val="0"/>
          <w:color w:val="000000"/>
          <w:sz w:val="21"/>
          <w:lang w:val="en-US" w:eastAsia="zh-CN"/>
        </w:rPr>
        <w:t>本实验</w:t>
      </w:r>
      <w:r>
        <w:rPr>
          <w:rFonts w:ascii="Calibri" w:hAnsi="Calibri" w:eastAsia="宋体"/>
          <w:b w:val="0"/>
          <w:color w:val="000000"/>
          <w:sz w:val="21"/>
        </w:rPr>
        <w:t>实现</w:t>
      </w:r>
      <w:r>
        <w:rPr>
          <w:rFonts w:hint="eastAsia" w:ascii="Calibri" w:hAnsi="Calibri" w:eastAsia="宋体"/>
          <w:b w:val="0"/>
          <w:color w:val="000000"/>
          <w:sz w:val="21"/>
          <w:lang w:val="en-US" w:eastAsia="zh-CN"/>
        </w:rPr>
        <w:t>了</w:t>
      </w:r>
      <w:r>
        <w:rPr>
          <w:rFonts w:ascii="Calibri" w:hAnsi="Calibri" w:eastAsia="宋体"/>
          <w:b w:val="0"/>
          <w:color w:val="000000"/>
          <w:sz w:val="21"/>
        </w:rPr>
        <w:t>删除法、均值填充和中位数填充</w:t>
      </w:r>
      <w:r>
        <w:rPr>
          <w:rFonts w:hint="eastAsia" w:ascii="Calibri" w:hAnsi="Calibri" w:eastAsia="宋体"/>
          <w:b w:val="0"/>
          <w:color w:val="000000"/>
          <w:sz w:val="21"/>
          <w:lang w:eastAsia="zh-CN"/>
        </w:rPr>
        <w:t>，</w:t>
      </w:r>
      <w:r>
        <w:rPr>
          <w:rFonts w:hint="eastAsia" w:ascii="Calibri" w:hAnsi="Calibri" w:eastAsia="宋体"/>
          <w:b w:val="0"/>
          <w:color w:val="000000"/>
          <w:sz w:val="21"/>
          <w:lang w:val="en-US" w:eastAsia="zh-CN"/>
        </w:rPr>
        <w:t>并对</w:t>
      </w:r>
      <w:r>
        <w:rPr>
          <w:rFonts w:ascii="Calibri" w:hAnsi="Calibri" w:eastAsia="宋体"/>
          <w:b w:val="0"/>
          <w:color w:val="000000"/>
          <w:sz w:val="21"/>
        </w:rPr>
        <w:t>KNN 插补、离散化和特征选择</w:t>
      </w:r>
      <w:r>
        <w:rPr>
          <w:rFonts w:hint="eastAsia" w:ascii="Calibri" w:hAnsi="Calibri" w:eastAsia="宋体"/>
          <w:b w:val="0"/>
          <w:color w:val="000000"/>
          <w:sz w:val="21"/>
          <w:lang w:val="en-US" w:eastAsia="zh-CN"/>
        </w:rPr>
        <w:t>进行了</w:t>
      </w:r>
      <w:r>
        <w:rPr>
          <w:rFonts w:ascii="Calibri" w:hAnsi="Calibri" w:eastAsia="宋体"/>
          <w:b w:val="0"/>
          <w:color w:val="000000"/>
          <w:sz w:val="21"/>
        </w:rPr>
        <w:t>概念学习。</w:t>
      </w:r>
    </w:p>
    <w:p w14:paraId="07E608B4">
      <w:pPr>
        <w:pStyle w:val="3"/>
        <w:keepNext/>
        <w:widowControl/>
        <w:bidi w:val="0"/>
        <w:spacing w:before="200" w:after="140"/>
      </w:pPr>
      <w:bookmarkStart w:id="2" w:name="_Toc14170"/>
      <w:r>
        <w:t>实验原理</w:t>
      </w:r>
      <w:bookmarkEnd w:id="2"/>
    </w:p>
    <w:p w14:paraId="4CCA1B15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数据预处理主要包括数据清洗、数据集成、数据变换和数据规约。本实验重点练习清洗与变换，理解它们怎样影响后续使用的数据。</w:t>
      </w:r>
    </w:p>
    <w:p w14:paraId="31AA0740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bookmarkStart w:id="3" w:name="_Toc15151"/>
      <w:r>
        <w:rPr>
          <w:rFonts w:ascii="Calibri" w:hAnsi="Calibri" w:eastAsia="宋体"/>
          <w:b/>
          <w:color w:val="000000"/>
          <w:sz w:val="24"/>
        </w:rPr>
        <w:t>数据清洗</w:t>
      </w:r>
      <w:bookmarkEnd w:id="3"/>
    </w:p>
    <w:p w14:paraId="6E787158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本实验尝试了三种缺失值处理方法：删除含缺失值的行、均值填充和中位数填充。删除法简单，但可能丢掉较多样本；填充可以保留样本，不过填入的是估计值，原有的分布和特征关系也可能随之改变。</w:t>
      </w:r>
    </w:p>
    <w:p w14:paraId="0214FC61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IQR = Q3−Q1，上下边界分别为 Q1−1.5IQR 和 Q3+1.5IQR。超出边界的值会被标记，盖帽时再用相应边界替换。Q1、Q3 是对整列数据排序后计算的，不需要先去掉异常点。被规则标出的值也不一定是测量错误，还要进一步判断。</w:t>
      </w:r>
    </w:p>
    <w:p w14:paraId="6E227E7C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Z-score 的计算式为 z=(x−μ)/σ，本次把 |z|&gt;3 的值标记为异常。这里的检测和 StandardScaler 都使用总体标准差（ddof=0），缺失处理对比表中的 Pandas std 则使用样本标准差（ddof=1）。两种计算约定不同，比较时需要注意。</w:t>
      </w:r>
    </w:p>
    <w:p w14:paraId="3E953BB7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bookmarkStart w:id="4" w:name="_Toc21410"/>
      <w:r>
        <w:rPr>
          <w:rFonts w:ascii="Calibri" w:hAnsi="Calibri" w:eastAsia="宋体"/>
          <w:b/>
          <w:color w:val="000000"/>
          <w:sz w:val="24"/>
        </w:rPr>
        <w:t>数据集成</w:t>
      </w:r>
      <w:bookmarkEnd w:id="4"/>
    </w:p>
    <w:p w14:paraId="380CE870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数据集成是把多个来源的数据合并，并处理同一对象的编号差异、重复属性和记录冲突。本次只使用一个 Wine 数据集，没有进行多源合并。</w:t>
      </w:r>
    </w:p>
    <w:p w14:paraId="5BD6F7E8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bookmarkStart w:id="5" w:name="_Toc24870"/>
      <w:r>
        <w:rPr>
          <w:rFonts w:ascii="Calibri" w:hAnsi="Calibri" w:eastAsia="宋体"/>
          <w:b/>
          <w:color w:val="000000"/>
          <w:sz w:val="24"/>
        </w:rPr>
        <w:t>数据变换</w:t>
      </w:r>
      <w:bookmarkEnd w:id="5"/>
    </w:p>
    <w:p w14:paraId="5383E648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Min-Max 按 (x−min)/(max−min) 进行缩放。本次各列都不是恒定列，变换后的拟合数据范围为 [0,1]。Z-score 则使各列均值约为 0、总体标准差约为 1，但中位数不一定为 0，数值也不一定落在 [0,1] 内，分布形状不会因此变成正态。独热编码为每个类别设置一列，只在样本所属类别的位置填 1；类别编号本身不表示大小或距离。</w:t>
      </w:r>
    </w:p>
    <w:p w14:paraId="7D506FA1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离散化把连续值分成若干区间，例如低、中、高，便于解释，但也会丢失区间内的数值差别。它与缩放尺度、把类别展开为独热列的作用不同。</w:t>
      </w:r>
    </w:p>
    <w:p w14:paraId="1FC97339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bookmarkStart w:id="6" w:name="_Toc11251"/>
      <w:r>
        <w:rPr>
          <w:rFonts w:ascii="Calibri" w:hAnsi="Calibri" w:eastAsia="宋体"/>
          <w:b/>
          <w:color w:val="000000"/>
          <w:sz w:val="24"/>
        </w:rPr>
        <w:t>数据规约</w:t>
      </w:r>
      <w:bookmarkEnd w:id="6"/>
    </w:p>
    <w:p w14:paraId="4602BBC6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数据规约通过特征选择或特征提取减少数据维度。特征选择从已有列中挑出有用的特征，PCA 等特征提取方法则构造新的表示。本次只了解其作用，没有执行规约。</w:t>
      </w:r>
    </w:p>
    <w:p w14:paraId="65D53482">
      <w:pPr>
        <w:pStyle w:val="3"/>
        <w:keepNext/>
        <w:widowControl/>
        <w:bidi w:val="0"/>
        <w:spacing w:before="200" w:after="140"/>
      </w:pPr>
      <w:bookmarkStart w:id="7" w:name="_Toc18865"/>
      <w:r>
        <w:t>实验环境</w:t>
      </w:r>
      <w:bookmarkEnd w:id="7"/>
    </w:p>
    <w:p w14:paraId="2FF75EF8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</w:pPr>
      <w:r>
        <w:rPr>
          <w:rFonts w:ascii="Calibri" w:hAnsi="Calibri" w:eastAsia="宋体"/>
          <w:b w:val="0"/>
          <w:color w:val="000000"/>
          <w:sz w:val="18"/>
        </w:rPr>
        <w:t>表 1  实验环境</w:t>
      </w:r>
    </w:p>
    <w:tbl>
      <w:tblPr>
        <w:tblStyle w:val="14"/>
        <w:tblW w:w="8217" w:type="dxa"/>
        <w:jc w:val="center"/>
        <w:tblBorders>
          <w:top w:val="none" w:color="B7B7B7" w:sz="4" w:space="0"/>
          <w:left w:val="none" w:color="B7B7B7" w:sz="4" w:space="0"/>
          <w:bottom w:val="none" w:color="B7B7B7" w:sz="4" w:space="0"/>
          <w:right w:val="none" w:color="B7B7B7" w:sz="4" w:space="0"/>
          <w:insideH w:val="none" w:color="B7B7B7" w:sz="4" w:space="0"/>
          <w:insideV w:val="none" w:color="B7B7B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6820"/>
      </w:tblGrid>
      <w:tr w14:paraId="046EADDF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9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BE16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项目</w:t>
            </w:r>
          </w:p>
        </w:tc>
        <w:tc>
          <w:tcPr>
            <w:tcW w:w="682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9BCC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记录</w:t>
            </w:r>
          </w:p>
        </w:tc>
      </w:tr>
      <w:tr w14:paraId="6EF5DAD5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8B5D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编辑和运行</w:t>
            </w:r>
          </w:p>
        </w:tc>
        <w:tc>
          <w:tcPr>
            <w:tcW w:w="682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23E0B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VS Code，Python 与 Jupyter 扩展，dm-labs 内核</w:t>
            </w:r>
          </w:p>
        </w:tc>
      </w:tr>
      <w:tr w14:paraId="03B5F375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CC7E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Python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0E4D6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3.11.17，conda 独立环境 dm-labs</w:t>
            </w:r>
          </w:p>
        </w:tc>
      </w:tr>
      <w:tr w14:paraId="70BF7E5D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C03F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解释器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5DB36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C:\Users\Qxi\miniconda3\envs\dm-labs\python.exe</w:t>
            </w:r>
          </w:p>
        </w:tc>
      </w:tr>
      <w:tr w14:paraId="7E3B1786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F199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依赖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DC691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NumPy 2.4.6；Pandas 3.0.6；Scikit-learn 1.9.1；Matplotlib 3.11.2；Seaborn 0.13.2；ipykernel 7.4.0</w:t>
            </w:r>
          </w:p>
        </w:tc>
      </w:tr>
      <w:tr w14:paraId="18CAC2C7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C868E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Windows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0576D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Windows x64，25H2，build 26200.9711</w:t>
            </w:r>
          </w:p>
        </w:tc>
      </w:tr>
      <w:tr w14:paraId="35341A9F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45ED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硬件信息</w:t>
            </w:r>
          </w:p>
        </w:tc>
        <w:tc>
          <w:tcPr>
            <w:tcW w:w="682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A9656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AMD Ryzen 7 8845H w/ Radeon 780M Graphics；</w:t>
            </w:r>
            <w:r>
              <w:rPr>
                <w:rFonts w:hint="eastAsia" w:ascii="Calibri" w:hAnsi="Calibri" w:eastAsia="宋体"/>
                <w:b w:val="0"/>
                <w:color w:val="000000"/>
                <w:sz w:val="19"/>
                <w:lang w:val="en-US" w:eastAsia="zh-CN"/>
              </w:rPr>
              <w:t>内存16</w:t>
            </w:r>
            <w:r>
              <w:rPr>
                <w:rFonts w:ascii="Calibri" w:hAnsi="Calibri" w:eastAsia="宋体"/>
                <w:b w:val="0"/>
                <w:color w:val="000000"/>
                <w:sz w:val="19"/>
              </w:rPr>
              <w:t>GiB</w:t>
            </w:r>
          </w:p>
        </w:tc>
      </w:tr>
    </w:tbl>
    <w:p w14:paraId="6E1C8122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</w:p>
    <w:p w14:paraId="4FAA9890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使用 conda 建立 dm-labs 环境，在 VS Code 的 Notebook 中运行。sys.executable 指向该环境</w:t>
      </w:r>
      <w:r>
        <w:rPr>
          <w:rFonts w:hint="eastAsia" w:ascii="Calibri" w:hAnsi="Calibri" w:eastAsia="宋体"/>
          <w:b w:val="0"/>
          <w:color w:val="000000"/>
          <w:sz w:val="21"/>
          <w:lang w:eastAsia="zh-CN"/>
        </w:rPr>
        <w:t>，</w:t>
      </w:r>
      <w:r>
        <w:rPr>
          <w:rFonts w:ascii="Calibri" w:hAnsi="Calibri" w:eastAsia="宋体"/>
          <w:b w:val="0"/>
          <w:color w:val="000000"/>
          <w:sz w:val="21"/>
        </w:rPr>
        <w:t>完整依赖及版本保存在 requirements.txt。</w:t>
      </w:r>
    </w:p>
    <w:p w14:paraId="3AAE51A4">
      <w:r>
        <w:br w:type="page"/>
      </w:r>
    </w:p>
    <w:p w14:paraId="7B5F33D7">
      <w:pPr>
        <w:pStyle w:val="3"/>
        <w:keepNext/>
        <w:widowControl/>
        <w:bidi w:val="0"/>
        <w:spacing w:before="200" w:after="140"/>
      </w:pPr>
      <w:bookmarkStart w:id="8" w:name="_Toc11634"/>
      <w:r>
        <w:t>实验数据</w:t>
      </w:r>
      <w:bookmarkEnd w:id="8"/>
    </w:p>
    <w:p w14:paraId="44A33D04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使用 sklearn.datasets.load_wine 加载 Wine 数据集，共有 178 个样本、13 个化学属性特征，分为 3 类。特征包括 alcohol、malic_acid、alcalinity_of_ash 等，类别 0、1、2 的样本数分别为 59、71、48。</w:t>
      </w:r>
    </w:p>
    <w:p w14:paraId="6D9E8DEE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原始特征均为数值型，没有缺失值。为练习预处理，固定随机种子 42，在特征单元格中独立以 0.07 的概率加入缺失，再在均值填充后的副本中把第 0 行 magnesium 从 127 改为 1000。原始特征 X 和目标 y 分开保留，目标不参与插补或缩放。</w:t>
      </w:r>
    </w:p>
    <w:p w14:paraId="53521BA1">
      <w:pPr>
        <w:pStyle w:val="3"/>
        <w:keepNext/>
        <w:widowControl/>
        <w:bidi w:val="0"/>
        <w:spacing w:before="200" w:after="140"/>
      </w:pPr>
      <w:bookmarkStart w:id="9" w:name="_Toc25838"/>
      <w:r>
        <w:t>实验内容与步骤</w:t>
      </w:r>
      <w:bookmarkEnd w:id="9"/>
    </w:p>
    <w:p w14:paraId="6DB422A4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下面按指导书的 Step 1–5 说明操作过程，并列出核心代码片段。重复的导入和绘图设置作了省略，完整代码与输出见 lab1.ipynb。</w:t>
      </w:r>
    </w:p>
    <w:p w14:paraId="7310DF1D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bookmarkStart w:id="10" w:name="_Toc2347"/>
      <w:r>
        <w:rPr>
          <w:rFonts w:ascii="Calibri" w:hAnsi="Calibri" w:eastAsia="宋体"/>
          <w:b/>
          <w:color w:val="000000"/>
          <w:sz w:val="24"/>
        </w:rPr>
        <w:t>Step 1 数据加载与探索性分析 EDA</w:t>
      </w:r>
      <w:bookmarkEnd w:id="10"/>
    </w:p>
    <w:p w14:paraId="3A15D864">
      <w:pPr>
        <w:keepNext w:val="0"/>
        <w:keepLines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  <w:rPr>
          <w:rFonts w:hint="eastAsia" w:ascii="Calibri" w:hAnsi="Calibri" w:eastAsia="宋体"/>
          <w:b w:val="0"/>
          <w:color w:val="000000"/>
          <w:sz w:val="21"/>
          <w:lang w:eastAsia="zh-CN"/>
        </w:rPr>
      </w:pPr>
      <w:r>
        <w:rPr>
          <w:rFonts w:ascii="Calibri" w:hAnsi="Calibri" w:eastAsia="宋体"/>
          <w:b w:val="0"/>
          <w:color w:val="000000"/>
          <w:sz w:val="21"/>
        </w:rPr>
        <w:t>从 sklearn.datasets 加载 Wine，并转为 DataFrame，分别保存特征 X 和类别 y</w:t>
      </w:r>
      <w:r>
        <w:rPr>
          <w:rFonts w:hint="eastAsia" w:ascii="Calibri" w:hAnsi="Calibri" w:eastAsia="宋体"/>
          <w:b w:val="0"/>
          <w:color w:val="000000"/>
          <w:sz w:val="21"/>
          <w:lang w:eastAsia="zh-CN"/>
        </w:rPr>
        <w:t>。</w:t>
      </w:r>
    </w:p>
    <w:p w14:paraId="27B6ED8A">
      <w:pPr>
        <w:keepNext w:val="0"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1.2 用 info()、describe() 查看维度、类型和统计量。</w:t>
      </w:r>
    </w:p>
    <w:p w14:paraId="0A3671AF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1.3 绘制全部特征的直方图与箱线图，观察取值尺度、偏态和独立点。1.4 绘制 Pearson 相关热力图，了解特征间的线性关系。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wine = load_wine()</w:t>
      </w:r>
    </w:p>
    <w:p w14:paraId="28C1A4E2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X = pd.DataFrame(wine.data, columns=wine.feature_names)</w:t>
      </w:r>
    </w:p>
    <w:p w14:paraId="42B7B840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y = pd.Series(wine.target, name="target")</w:t>
      </w:r>
    </w:p>
    <w:p w14:paraId="63EFF53C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X.info()</w:t>
      </w:r>
    </w:p>
    <w:p w14:paraId="581E2AE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display(X.describe().T)</w:t>
      </w:r>
    </w:p>
    <w:p w14:paraId="1A636B99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X.hist(bins=20, figsize=(15, 12), grid=False)</w:t>
      </w:r>
    </w:p>
    <w:p w14:paraId="18F98EF7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corr = X.corr(method="pearson")</w:t>
      </w:r>
    </w:p>
    <w:p w14:paraId="691B35BC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sns.heatmap(corr, annot=True, fmt=".2f", vmin=-1, vmax=1)</w:t>
      </w:r>
    </w:p>
    <w:p w14:paraId="1EC1EC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0"/>
        <w:jc w:val="left"/>
        <w:textAlignment w:val="auto"/>
      </w:pPr>
    </w:p>
    <w:p w14:paraId="0C31F5E5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bookmarkStart w:id="11" w:name="_Toc9110"/>
      <w:r>
        <w:rPr>
          <w:rFonts w:ascii="Calibri" w:hAnsi="Calibri" w:eastAsia="宋体"/>
          <w:b/>
          <w:color w:val="000000"/>
          <w:sz w:val="24"/>
        </w:rPr>
        <w:t>Step 2 缺失值处理</w:t>
      </w:r>
      <w:bookmarkEnd w:id="11"/>
    </w:p>
    <w:p w14:paraId="06662D3D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  <w:rPr>
          <w:rFonts w:ascii="Calibri" w:hAnsi="Calibri" w:eastAsia="宋体"/>
          <w:b w:val="0"/>
          <w:color w:val="000000"/>
          <w:sz w:val="21"/>
        </w:rPr>
      </w:pPr>
      <w:r>
        <w:rPr>
          <w:rFonts w:ascii="Calibri" w:hAnsi="Calibri" w:eastAsia="宋体"/>
          <w:b w:val="0"/>
          <w:color w:val="000000"/>
          <w:sz w:val="21"/>
        </w:rPr>
        <w:t>2.1 随机引入 5%–10% 的缺失值，本次设置概率为 7%，实际比例需由运行结果确认。</w:t>
      </w:r>
    </w:p>
    <w:p w14:paraId="42097787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2.2 逐列统计缺失数量和比例。</w:t>
      </w:r>
    </w:p>
    <w:p w14:paraId="71F8F730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  <w:rPr>
          <w:rFonts w:ascii="Calibri" w:hAnsi="Calibri" w:eastAsia="宋体"/>
          <w:b w:val="0"/>
          <w:color w:val="000000"/>
          <w:sz w:val="21"/>
        </w:rPr>
      </w:pPr>
      <w:r>
        <w:rPr>
          <w:rFonts w:ascii="Calibri" w:hAnsi="Calibri" w:eastAsia="宋体"/>
          <w:b w:val="0"/>
          <w:color w:val="000000"/>
          <w:sz w:val="21"/>
        </w:rPr>
        <w:t>2.3 分别删除缺失行、用均值填充、用中位数填充，三种方法都使用同一份 X_missing。</w:t>
      </w:r>
    </w:p>
    <w:p w14:paraId="393C0931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2.4 比较处理前后的样本数、均值和标准差。</w:t>
      </w:r>
    </w:p>
    <w:p w14:paraId="05A7A4B0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</w:pPr>
      <w:r>
        <w:rPr>
          <w:rFonts w:ascii="Consolas" w:hAnsi="Consolas" w:eastAsia="宋体"/>
          <w:b w:val="0"/>
          <w:color w:val="000000"/>
          <w:sz w:val="17"/>
        </w:rPr>
        <w:t>rng = np.random.default_rng(42)</w:t>
      </w:r>
    </w:p>
    <w:p w14:paraId="1191C1B5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</w:pPr>
      <w:r>
        <w:rPr>
          <w:rFonts w:ascii="Consolas" w:hAnsi="Consolas" w:eastAsia="宋体"/>
          <w:b w:val="0"/>
          <w:color w:val="000000"/>
          <w:sz w:val="17"/>
        </w:rPr>
        <w:t>missing_mask = rng.random(X.shape) &lt; 0.07</w:t>
      </w:r>
    </w:p>
    <w:p w14:paraId="0188786B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</w:pPr>
      <w:r>
        <w:rPr>
          <w:rFonts w:ascii="Consolas" w:hAnsi="Consolas" w:eastAsia="宋体"/>
          <w:b w:val="0"/>
          <w:color w:val="000000"/>
          <w:sz w:val="17"/>
        </w:rPr>
        <w:t>X_missing = X.mask(missing_mask)</w:t>
      </w:r>
    </w:p>
    <w:p w14:paraId="305A4418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</w:pPr>
      <w:r>
        <w:rPr>
          <w:rFonts w:ascii="Consolas" w:hAnsi="Consolas" w:eastAsia="宋体"/>
          <w:b w:val="0"/>
          <w:color w:val="000000"/>
          <w:sz w:val="17"/>
        </w:rPr>
        <w:t>missing_count = X_missing.isnull().sum()</w:t>
      </w:r>
    </w:p>
    <w:p w14:paraId="3236F97D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</w:pPr>
      <w:r>
        <w:rPr>
          <w:rFonts w:ascii="Consolas" w:hAnsi="Consolas" w:eastAsia="宋体"/>
          <w:b w:val="0"/>
          <w:color w:val="000000"/>
          <w:sz w:val="17"/>
        </w:rPr>
        <w:t>missing_percent = X_missing.isnull().mean() * 100</w:t>
      </w:r>
    </w:p>
    <w:p w14:paraId="7DBCF1EE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</w:pPr>
      <w:r>
        <w:rPr>
          <w:rFonts w:ascii="Consolas" w:hAnsi="Consolas" w:eastAsia="宋体"/>
          <w:b w:val="0"/>
          <w:color w:val="000000"/>
          <w:sz w:val="17"/>
        </w:rPr>
        <w:t>X_drop = X_missing.dropna()</w:t>
      </w:r>
    </w:p>
    <w:p w14:paraId="2D00D4B3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</w:pPr>
      <w:r>
        <w:rPr>
          <w:rFonts w:ascii="Consolas" w:hAnsi="Consolas" w:eastAsia="宋体"/>
          <w:b w:val="0"/>
          <w:color w:val="000000"/>
          <w:sz w:val="17"/>
        </w:rPr>
        <w:t>X_mean = X_missing.fillna(X_missing.mean())</w:t>
      </w:r>
    </w:p>
    <w:p w14:paraId="7F1447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</w:pPr>
      <w:r>
        <w:rPr>
          <w:rFonts w:ascii="Consolas" w:hAnsi="Consolas" w:eastAsia="宋体"/>
          <w:b w:val="0"/>
          <w:color w:val="000000"/>
          <w:sz w:val="17"/>
        </w:rPr>
        <w:t>X_median = X_missing.fillna(X_missing.median())</w:t>
      </w:r>
    </w:p>
    <w:p w14:paraId="1B2A48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0"/>
        <w:jc w:val="left"/>
        <w:textAlignment w:val="auto"/>
      </w:pPr>
    </w:p>
    <w:p w14:paraId="240B3A28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bookmarkStart w:id="12" w:name="_Toc18788"/>
      <w:r>
        <w:rPr>
          <w:rFonts w:ascii="Calibri" w:hAnsi="Calibri" w:eastAsia="宋体"/>
          <w:b/>
          <w:color w:val="000000"/>
          <w:sz w:val="24"/>
        </w:rPr>
        <w:t>Step 3 异常值检测与处理</w:t>
      </w:r>
      <w:bookmarkEnd w:id="12"/>
    </w:p>
    <w:p w14:paraId="6C6D3B71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3.1 在 X_mean 的副本中加入已知异常点，再计算 Q1、Q3 和 IQR，按 1.5 倍 IQR 边界标记异常。3.2 计算 Z-score，把绝对值大于 3 的值标记出来。</w:t>
      </w:r>
    </w:p>
    <w:p w14:paraId="0983B438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3.3 逐列比较两种方法标记的数量，并区分异常单元格数和涉及的样本行数。3.4 用检测时的固定 IQR 上下边界盖帽，保留处理前副本并检查修改结果。</w:t>
      </w:r>
    </w:p>
    <w:p w14:paraId="3175633A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X_outlier = X_mean.copy()</w:t>
      </w:r>
    </w:p>
    <w:p w14:paraId="34CE1E04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X_outlier.loc[0, "magnesium"] = 1000.0</w:t>
      </w:r>
    </w:p>
    <w:p w14:paraId="07003238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q1, q3 = X_outlier.quantile(0.25), X_outlier.quantile(0.75)</w:t>
      </w:r>
    </w:p>
    <w:p w14:paraId="66CE51F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iqr = q3 - q1</w:t>
      </w:r>
    </w:p>
    <w:p w14:paraId="6B2945D4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lower, upper = q1 - 1.5 * iqr, q3 + 1.5 * iqr</w:t>
      </w:r>
    </w:p>
    <w:p w14:paraId="20E281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iqr_mask = (X_outlier &lt; lower) | (X_outlier &gt; upper)</w:t>
      </w:r>
    </w:p>
    <w:p w14:paraId="5B0E5AE8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std = X_outlier.std(ddof=0).replace(0, np.nan)</w:t>
      </w:r>
    </w:p>
    <w:p w14:paraId="53C51792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z_mask = ((X_outlier - X_outlier.mean()) / std).abs() &gt; 3</w:t>
      </w:r>
    </w:p>
    <w:p w14:paraId="7D96B716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X_capped = X_outlier.clip(lower=lower, upper=upper, axis=1)</w:t>
      </w:r>
    </w:p>
    <w:p w14:paraId="360ED2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0"/>
        <w:jc w:val="left"/>
        <w:textAlignment w:val="auto"/>
      </w:pPr>
    </w:p>
    <w:p w14:paraId="1DBDDB40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bookmarkStart w:id="13" w:name="_Toc6520"/>
      <w:r>
        <w:rPr>
          <w:rFonts w:ascii="Calibri" w:hAnsi="Calibri" w:eastAsia="宋体"/>
          <w:b/>
          <w:color w:val="000000"/>
          <w:sz w:val="24"/>
        </w:rPr>
        <w:t>Step 4 数据规范化</w:t>
      </w:r>
      <w:bookmarkEnd w:id="13"/>
    </w:p>
    <w:p w14:paraId="522FD2F7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4.1 对 X_capped 做 Min-Max 缩放。4.2 从同一份 X_capped 独立做 Z-score 缩放。4.3 比较各列统计量，并绘制前后箱线图。这里总体标准差均使用 ddof=0，避免计算约定不同影响比较。</w:t>
      </w:r>
    </w:p>
    <w:p w14:paraId="77E8ACDE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X_minmax = pd.DataFrame(</w:t>
      </w:r>
    </w:p>
    <w:p w14:paraId="104FDD2B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    MinMaxScaler().fit_transform(X_capped),</w:t>
      </w:r>
    </w:p>
    <w:p w14:paraId="0CB91C58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    columns=X_capped.columns, index=X_capped.index)</w:t>
      </w:r>
    </w:p>
    <w:p w14:paraId="00DBB30E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X_zscore = pd.DataFrame(</w:t>
      </w:r>
    </w:p>
    <w:p w14:paraId="0AA3C8F8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    StandardScaler().fit_transform(X_capped),</w:t>
      </w:r>
    </w:p>
    <w:p w14:paraId="4ADD2390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    columns=X_capped.columns, index=X_capped.index)</w:t>
      </w:r>
    </w:p>
    <w:p w14:paraId="771B47B8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bookmarkStart w:id="14" w:name="_Toc17074"/>
      <w:r>
        <w:rPr>
          <w:rFonts w:ascii="Calibri" w:hAnsi="Calibri" w:eastAsia="宋体"/>
          <w:b/>
          <w:color w:val="000000"/>
          <w:sz w:val="24"/>
        </w:rPr>
        <w:t>Step 5 特征编码</w:t>
      </w:r>
      <w:bookmarkEnd w:id="14"/>
    </w:p>
    <w:p w14:paraId="7000C6C0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5.1 将目标类别 0、1、2 转为独热编码，检查每行之和及索引。5.2 Wine 的特征都是数值型，因此另用颜色样例比较标签编码与独热编码，不把演示数据加入 Wine。</w:t>
      </w:r>
    </w:p>
    <w:p w14:paraId="7605393D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y_onehot = pd.get_dummies(y, prefix="class", dtype=int)</w:t>
      </w:r>
    </w:p>
    <w:p w14:paraId="4F673BD6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colors = pd.Series(["red", "green", "blue", "red"], name="color")</w:t>
      </w:r>
    </w:p>
    <w:p w14:paraId="1EDBD619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encoder = LabelEncoder()</w:t>
      </w:r>
    </w:p>
    <w:p w14:paraId="5AF8E1EE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>label_codes = encoder.fit_transform(colors)</w:t>
      </w:r>
    </w:p>
    <w:p w14:paraId="0B7F21FB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</w:pPr>
      <w:r>
        <w:rPr>
          <w:rFonts w:ascii="Consolas" w:hAnsi="Consolas" w:eastAsia="宋体"/>
          <w:b w:val="0"/>
          <w:color w:val="000000"/>
          <w:sz w:val="17"/>
        </w:rPr>
        <w:t>onehot_codes = pd.get_dummies(colors, prefix="color", dtype=int)</w:t>
      </w:r>
    </w:p>
    <w:p w14:paraId="71F2D455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后面的步骤沿用均值填充后的数据，是为了在保留全部样本、没有缺失值的情况下比较处理效果，并不说明均值填充就是最好的选择。本次没有训练或评估预测模型。如果以后用于预测任务，应先划分训练集和测试集，只用训练集计算插补和缩放参数。</w:t>
      </w:r>
    </w:p>
    <w:p w14:paraId="36C3D4B9">
      <w:pPr>
        <w:pStyle w:val="3"/>
        <w:keepNext/>
        <w:widowControl/>
        <w:bidi w:val="0"/>
        <w:spacing w:before="200" w:after="140"/>
      </w:pPr>
      <w:bookmarkStart w:id="15" w:name="_Toc8409"/>
      <w:r>
        <w:t>实验结果与分析</w:t>
      </w:r>
      <w:bookmarkEnd w:id="15"/>
    </w:p>
    <w:p w14:paraId="62D29848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bookmarkStart w:id="16" w:name="_Toc18005"/>
      <w:r>
        <w:rPr>
          <w:rFonts w:ascii="Calibri" w:hAnsi="Calibri" w:eastAsia="宋体"/>
          <w:b/>
          <w:color w:val="000000"/>
          <w:sz w:val="24"/>
        </w:rPr>
        <w:t>1 数据加载与探索结果</w:t>
      </w:r>
      <w:bookmarkEnd w:id="16"/>
    </w:p>
    <w:p w14:paraId="69AE69F8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加载后，X 有 178 行、13 列，y 包含 178 个标签。类别 0、1、2 分别有 59、71、48 个样本。13 个特征都是 float64 类型，每列都有 178 个有效值，说明原始表中没有缺失。不过，这还不能说明数据不存在异常或其他问题。</w:t>
      </w:r>
    </w:p>
    <w:p w14:paraId="4F5F40E3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从取值范围看，alcohol 为 11.03–14.83，magnesium 为 70–162，proline 为 278–1680，不同特征的尺度差别较大。我原先认为 malic_acid 大致对称，但直方图中较小值附近的样本更多，右侧尾巴更长，因此改为判断它呈右偏分布。它的均值约为 2.3363，高于中位数 1.865，也与图中的情况相符。</w:t>
      </w:r>
    </w:p>
    <w:p w14:paraId="0CB1054A">
      <w:pPr>
        <w:keepNext/>
        <w:spacing w:after="40"/>
        <w:jc w:val="center"/>
      </w:pPr>
      <w:r>
        <w:drawing>
          <wp:inline distT="0" distB="0" distL="114300" distR="114300">
            <wp:extent cx="4782820" cy="3787775"/>
            <wp:effectExtent l="0" t="0" r="5080" b="9525"/>
            <wp:docPr id="1260220703" name="Picture 1260220703" descr="13 个原始特征的直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3" name="Picture 1260220703" descr="13 个原始特征的直方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E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>图 1  原始特征直方图</w:t>
      </w:r>
    </w:p>
    <w:p w14:paraId="4D6D7593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箱线图中，ash 等特征在上下两侧都有独立点。箱内橙线表示中位数，独立点则由 IQR 边界决定，并不是根据离均值有多远来判断的。</w:t>
      </w:r>
    </w:p>
    <w:p w14:paraId="7402D356">
      <w:pPr>
        <w:keepNext/>
        <w:spacing w:after="40"/>
        <w:jc w:val="center"/>
      </w:pPr>
      <w:r>
        <w:drawing>
          <wp:inline distT="0" distB="0" distL="114300" distR="114300">
            <wp:extent cx="4156710" cy="3308350"/>
            <wp:effectExtent l="0" t="0" r="8890" b="6350"/>
            <wp:docPr id="1260220704" name="Picture 1260220704" descr="原始特征箱线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4" name="Picture 1260220704" descr="原始特征箱线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67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82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>图 2  原始特征箱线图及 IQR 独立点</w:t>
      </w:r>
    </w:p>
    <w:p w14:paraId="64B85F08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从热力图可见，alcohol 与 malic_acid 的相关系数约为 0.09，正线性关系很弱；alcohol 与 alcalinity_of_ash 约为 −0.31，呈较弱的负线性相关。total_phenols 与 flavanoids 的相关系数约为 0.86。图中数值保留两位小数，反映的是整体的线性关系，不能据此判断因果，也不意味着每个样本都符合这一趋势。</w:t>
      </w:r>
    </w:p>
    <w:p w14:paraId="794A557D">
      <w:pPr>
        <w:keepNext/>
        <w:spacing w:after="40"/>
        <w:jc w:val="center"/>
      </w:pPr>
      <w:r>
        <w:drawing>
          <wp:inline distT="0" distB="0" distL="114300" distR="114300">
            <wp:extent cx="4157980" cy="3693795"/>
            <wp:effectExtent l="0" t="0" r="7620" b="1905"/>
            <wp:docPr id="1260220705" name="Picture 1260220705" descr="特征 Pearson 相关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5" name="Picture 1260220705" descr="特征 Pearson 相关热力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798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F6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  <w:b w:val="0"/>
          <w:color w:val="000000"/>
          <w:sz w:val="18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>图 3  特征 Pearson 相关热力图</w:t>
      </w:r>
    </w:p>
    <w:p w14:paraId="5C3644D6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bookmarkStart w:id="17" w:name="_Toc28089"/>
      <w:r>
        <w:rPr>
          <w:rFonts w:ascii="Calibri" w:hAnsi="Calibri" w:eastAsia="宋体"/>
          <w:b/>
          <w:color w:val="000000"/>
          <w:sz w:val="24"/>
        </w:rPr>
        <w:t>2 缺失值处理结果</w:t>
      </w:r>
      <w:bookmarkEnd w:id="17"/>
    </w:p>
    <w:p w14:paraId="06589AF5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设置随机种子为 42、每个单元格独立缺失的概率为 0.07 后，实际有 156/2314 个单元格变成缺失值，约占 6.74%。这些缺失分布在 100/178 行中，涉及约 56.18% 的样本。原始 X 的缺失数仍为 0，说明修改只发生在副本中。</w:t>
      </w:r>
    </w:p>
    <w:p w14:paraId="69D4C4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  <w:b w:val="0"/>
          <w:color w:val="000000"/>
          <w:sz w:val="18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>表 2  逐特征缺失数量与比例</w:t>
      </w:r>
    </w:p>
    <w:tbl>
      <w:tblPr>
        <w:tblStyle w:val="14"/>
        <w:tblW w:w="0" w:type="auto"/>
        <w:jc w:val="center"/>
        <w:tblBorders>
          <w:top w:val="single" w:color="000000" w:sz="10" w:space="0"/>
          <w:left w:val="none" w:color="000000" w:sz="0" w:space="0"/>
          <w:bottom w:val="single" w:color="000000" w:sz="1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700"/>
        <w:gridCol w:w="2700"/>
      </w:tblGrid>
      <w:tr w14:paraId="59BAE302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tcBorders>
              <w:bottom w:val="single" w:color="auto" w:sz="4" w:space="0"/>
            </w:tcBorders>
            <w:shd w:val="clear" w:color="auto" w:fill="E7E6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752F06">
            <w:pPr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特征</w:t>
            </w:r>
          </w:p>
        </w:tc>
        <w:tc>
          <w:tcPr>
            <w:tcW w:w="2700" w:type="dxa"/>
            <w:tcBorders>
              <w:bottom w:val="single" w:color="auto" w:sz="4" w:space="0"/>
            </w:tcBorders>
            <w:shd w:val="clear" w:color="auto" w:fill="E7E6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A4A87A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缺失数量</w:t>
            </w:r>
          </w:p>
        </w:tc>
        <w:tc>
          <w:tcPr>
            <w:tcW w:w="2700" w:type="dxa"/>
            <w:tcBorders>
              <w:bottom w:val="single" w:color="auto" w:sz="4" w:space="0"/>
            </w:tcBorders>
            <w:shd w:val="clear" w:color="auto" w:fill="E7E6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4774C0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缺失比例 %</w:t>
            </w:r>
          </w:p>
        </w:tc>
      </w:tr>
      <w:tr w14:paraId="3C410939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456B43">
            <w:pPr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alcohol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5DB717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1D4C37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5.62</w:t>
            </w:r>
          </w:p>
        </w:tc>
      </w:tr>
      <w:tr w14:paraId="74F731B0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CD7360">
            <w:pPr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malic_acid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89F032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C2E025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5.06</w:t>
            </w:r>
          </w:p>
        </w:tc>
      </w:tr>
      <w:tr w14:paraId="6C7E0BED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8CF9B2">
            <w:pPr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ash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E83DFA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07F1AB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5.06</w:t>
            </w:r>
          </w:p>
        </w:tc>
      </w:tr>
      <w:tr w14:paraId="462F49A1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2CD6EB">
            <w:pPr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alcalinity_of_ash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A1CB4A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CD819B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6.18</w:t>
            </w:r>
          </w:p>
        </w:tc>
      </w:tr>
      <w:tr w14:paraId="1F1688CB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C53F32">
            <w:pPr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magnesium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AFFDE3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16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6EB123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8.99</w:t>
            </w:r>
          </w:p>
        </w:tc>
      </w:tr>
      <w:tr w14:paraId="44FF4B5A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9C7E77">
            <w:pPr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total_phenols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ADED93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0B6DB5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7.30</w:t>
            </w:r>
          </w:p>
        </w:tc>
      </w:tr>
      <w:tr w14:paraId="144714AE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1CBDC8">
            <w:pPr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flavanoids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EF651F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B70551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5.06</w:t>
            </w:r>
          </w:p>
        </w:tc>
      </w:tr>
      <w:tr w14:paraId="09526227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5F44292">
            <w:pPr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nonflavanoid_phenols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7EB62E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1F3F1F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7.87</w:t>
            </w:r>
          </w:p>
        </w:tc>
      </w:tr>
      <w:tr w14:paraId="48BE78F5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E9980B">
            <w:pPr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proanthocyanins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6C62A7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16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25DF90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8.99</w:t>
            </w:r>
          </w:p>
        </w:tc>
      </w:tr>
      <w:tr w14:paraId="4056F89C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8CEE2E">
            <w:pPr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color_intensity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EB161D0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9A1E04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7.87</w:t>
            </w:r>
          </w:p>
        </w:tc>
      </w:tr>
      <w:tr w14:paraId="33F430FE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BA32A6">
            <w:pPr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hue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E05F8D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33188A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5.06</w:t>
            </w:r>
          </w:p>
        </w:tc>
      </w:tr>
      <w:tr w14:paraId="12B960A8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9F19C1">
            <w:pPr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od280/od315_of_diluted_wines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73D338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AE42C1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6.18</w:t>
            </w:r>
          </w:p>
        </w:tc>
      </w:tr>
      <w:tr w14:paraId="1FD90C62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ABE85B">
            <w:pPr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proline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9EC9F0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15</w:t>
            </w:r>
          </w:p>
        </w:tc>
        <w:tc>
          <w:tcPr>
            <w:tcW w:w="27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FD1474">
            <w:pPr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8.43</w:t>
            </w:r>
          </w:p>
        </w:tc>
      </w:tr>
    </w:tbl>
    <w:p w14:paraId="468B676C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</w:p>
    <w:p w14:paraId="6778BB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  <w:b w:val="0"/>
          <w:color w:val="000000"/>
          <w:sz w:val="18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>表 3  三种缺失处理方法的样本保留情况</w:t>
      </w:r>
    </w:p>
    <w:tbl>
      <w:tblPr>
        <w:tblStyle w:val="14"/>
        <w:tblW w:w="8127" w:type="dxa"/>
        <w:jc w:val="center"/>
        <w:tblBorders>
          <w:top w:val="none" w:color="B7B7B7" w:sz="4" w:space="0"/>
          <w:left w:val="none" w:color="B7B7B7" w:sz="4" w:space="0"/>
          <w:bottom w:val="none" w:color="B7B7B7" w:sz="4" w:space="0"/>
          <w:right w:val="none" w:color="B7B7B7" w:sz="4" w:space="0"/>
          <w:insideH w:val="none" w:color="B7B7B7" w:sz="4" w:space="0"/>
          <w:insideV w:val="none" w:color="B7B7B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4"/>
        <w:gridCol w:w="1398"/>
        <w:gridCol w:w="3865"/>
      </w:tblGrid>
      <w:tr w14:paraId="19EF5A4F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0337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数据/方法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79CD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行数</w:t>
            </w:r>
          </w:p>
        </w:tc>
        <w:tc>
          <w:tcPr>
            <w:tcW w:w="386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4D0FF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剩余缺失单元格</w:t>
            </w:r>
          </w:p>
        </w:tc>
      </w:tr>
      <w:tr w14:paraId="61CEBB07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13987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原始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D6E6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178</w:t>
            </w:r>
          </w:p>
        </w:tc>
        <w:tc>
          <w:tcPr>
            <w:tcW w:w="386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9695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</w:tr>
      <w:tr w14:paraId="4FD2C062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E9092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注入缺失后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62F7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178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7A1F2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156</w:t>
            </w:r>
          </w:p>
        </w:tc>
      </w:tr>
      <w:tr w14:paraId="1E103C86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DDFD3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删除缺失行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B8FA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78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F14E1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</w:tr>
      <w:tr w14:paraId="5455B576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A8AEF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均值填充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3E9E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178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5B51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</w:tr>
      <w:tr w14:paraId="3EBA3983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6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9A3DE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中位数填充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E931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178</w:t>
            </w:r>
          </w:p>
        </w:tc>
        <w:tc>
          <w:tcPr>
            <w:tcW w:w="38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792F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</w:tr>
    </w:tbl>
    <w:p w14:paraId="4D251197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</w:p>
    <w:p w14:paraId="62D61AFE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按照独立缺失的设定，一行至少有一个缺失值的理论概率为 1−0.93^13≈61.07%。本次实际为 56.18%，单次随机结果不必恰好等于理论期望。这个结果也说明，缺失值即使只占少量单元格，只要分散在不同行中，直接删行就可能损失很多样本。</w:t>
      </w:r>
    </w:p>
    <w:p w14:paraId="00ACDB1E">
      <w:pPr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下面以 malic_acid 为例，比较处理前后的均值和标准差。数值保留四位小数，标准差使用 ddof=1。</w:t>
      </w:r>
    </w:p>
    <w:p w14:paraId="1661C57C">
      <w:pPr>
        <w:rPr>
          <w:rFonts w:hint="eastAsia" w:ascii="黑体" w:hAnsi="黑体" w:eastAsia="黑体" w:cs="黑体"/>
          <w:b w:val="0"/>
          <w:color w:val="000000"/>
          <w:sz w:val="18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br w:type="page"/>
      </w:r>
    </w:p>
    <w:p w14:paraId="3F1989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  <w:b w:val="0"/>
          <w:color w:val="000000"/>
          <w:sz w:val="18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>表 4  malic_acid 处理前后的均值和标准差</w:t>
      </w:r>
    </w:p>
    <w:tbl>
      <w:tblPr>
        <w:tblStyle w:val="14"/>
        <w:tblW w:w="8125" w:type="dxa"/>
        <w:jc w:val="center"/>
        <w:tblBorders>
          <w:top w:val="none" w:color="B7B7B7" w:sz="4" w:space="0"/>
          <w:left w:val="none" w:color="B7B7B7" w:sz="4" w:space="0"/>
          <w:bottom w:val="none" w:color="B7B7B7" w:sz="4" w:space="0"/>
          <w:right w:val="none" w:color="B7B7B7" w:sz="4" w:space="0"/>
          <w:insideH w:val="none" w:color="B7B7B7" w:sz="4" w:space="0"/>
          <w:insideV w:val="none" w:color="B7B7B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0"/>
        <w:gridCol w:w="2058"/>
        <w:gridCol w:w="2187"/>
      </w:tblGrid>
      <w:tr w14:paraId="7FBBAE53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87E2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数据/方法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DCBD0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均值</w:t>
            </w:r>
          </w:p>
        </w:tc>
        <w:tc>
          <w:tcPr>
            <w:tcW w:w="218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10C7C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标准差</w:t>
            </w:r>
          </w:p>
        </w:tc>
      </w:tr>
      <w:tr w14:paraId="6875CB48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C5C7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原始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162A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2.3363</w:t>
            </w:r>
          </w:p>
        </w:tc>
        <w:tc>
          <w:tcPr>
            <w:tcW w:w="218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35BD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1.1171</w:t>
            </w:r>
          </w:p>
        </w:tc>
      </w:tr>
      <w:tr w14:paraId="2EA9BD91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3E175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缺失后有效值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703F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2.3121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D03F8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1.1034</w:t>
            </w:r>
          </w:p>
        </w:tc>
      </w:tr>
      <w:tr w14:paraId="08EE57CD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BA62F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删除缺失行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8875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2.4294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E9F53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1.1360</w:t>
            </w:r>
          </w:p>
        </w:tc>
      </w:tr>
      <w:tr w14:paraId="4F25C863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A4D5C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均值填充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32B7B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2.3121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9CE7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1.0750</w:t>
            </w:r>
          </w:p>
        </w:tc>
      </w:tr>
      <w:tr w14:paraId="7B003731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8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43DD5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中位数填充</w:t>
            </w:r>
          </w:p>
        </w:tc>
        <w:tc>
          <w:tcPr>
            <w:tcW w:w="205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5479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2.2877</w:t>
            </w:r>
          </w:p>
        </w:tc>
        <w:tc>
          <w:tcPr>
            <w:tcW w:w="218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B108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1.0802</w:t>
            </w:r>
          </w:p>
        </w:tc>
      </w:tr>
    </w:tbl>
    <w:p w14:paraId="734C8C7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</w:p>
    <w:p w14:paraId="6E4AE920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均值填充后，剩余有效值的均值没有改变，但标准差减小了；中位数填充也改变了统计量。这让我更清楚地理解到，填补空缺只是给出一个估计，并没有找回原来的真实值。全部特征的比较结果放在附表中。</w:t>
      </w:r>
    </w:p>
    <w:p w14:paraId="667C3395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bookmarkStart w:id="18" w:name="_Toc26867"/>
      <w:r>
        <w:rPr>
          <w:rFonts w:ascii="Calibri" w:hAnsi="Calibri" w:eastAsia="宋体"/>
          <w:b/>
          <w:color w:val="000000"/>
          <w:sz w:val="24"/>
        </w:rPr>
        <w:t>3 异常值检测与盖帽结果</w:t>
      </w:r>
      <w:bookmarkEnd w:id="18"/>
    </w:p>
    <w:p w14:paraId="1B367DDE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将第 0 行的 magnesium 从 127 改为 1000 后，这一列的均值由 99.80246913580248 升到 104.70696351782495。X_mean 中同一位置仍为 127，注入异常值的副本也没有缺失，说明原来的填充结果得到了保留。</w:t>
      </w:r>
    </w:p>
    <w:p w14:paraId="2CA0B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  <w:b w:val="0"/>
          <w:color w:val="000000"/>
          <w:sz w:val="18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>表 5  IQR 与 Z-score 的逐特征检测数量</w:t>
      </w:r>
    </w:p>
    <w:tbl>
      <w:tblPr>
        <w:tblStyle w:val="14"/>
        <w:tblW w:w="8127" w:type="dxa"/>
        <w:jc w:val="center"/>
        <w:tblBorders>
          <w:top w:val="none" w:color="B7B7B7" w:sz="4" w:space="0"/>
          <w:left w:val="none" w:color="B7B7B7" w:sz="4" w:space="0"/>
          <w:bottom w:val="none" w:color="B7B7B7" w:sz="4" w:space="0"/>
          <w:right w:val="none" w:color="B7B7B7" w:sz="4" w:space="0"/>
          <w:insideH w:val="none" w:color="B7B7B7" w:sz="4" w:space="0"/>
          <w:insideV w:val="none" w:color="B7B7B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5"/>
        <w:gridCol w:w="1523"/>
        <w:gridCol w:w="2009"/>
      </w:tblGrid>
      <w:tr w14:paraId="5B45CFC5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EDD0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特征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8436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IQR数量</w:t>
            </w:r>
          </w:p>
        </w:tc>
        <w:tc>
          <w:tcPr>
            <w:tcW w:w="200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A026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Z-score数量</w:t>
            </w:r>
          </w:p>
        </w:tc>
      </w:tr>
      <w:tr w14:paraId="78953901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4162E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alcohol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DB91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w="200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ABD7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</w:tr>
      <w:tr w14:paraId="2884AA52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25802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malic_acid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24EF8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38F3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2</w:t>
            </w:r>
          </w:p>
        </w:tc>
      </w:tr>
      <w:tr w14:paraId="3DC70433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09FCB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ash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4AD1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38E6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3</w:t>
            </w:r>
          </w:p>
        </w:tc>
      </w:tr>
      <w:tr w14:paraId="35DBF7C0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1FC56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alcalinity_of_ash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B3A00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7246F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</w:t>
            </w:r>
          </w:p>
        </w:tc>
      </w:tr>
      <w:tr w14:paraId="425FFC77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850E0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magnesium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6A1E0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D41E2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</w:t>
            </w:r>
          </w:p>
        </w:tc>
      </w:tr>
      <w:tr w14:paraId="0A764472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0F1D2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total_phenols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7612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0F84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</w:tr>
      <w:tr w14:paraId="285D7634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122D2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flavanoids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D8B8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57E53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</w:t>
            </w:r>
          </w:p>
        </w:tc>
      </w:tr>
      <w:tr w14:paraId="1BD93840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420AE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nonflavanoid_phenols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349AB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7948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</w:tr>
      <w:tr w14:paraId="591019CD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6A05C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proanthocyanins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C99E7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9D1D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</w:t>
            </w:r>
          </w:p>
        </w:tc>
      </w:tr>
      <w:tr w14:paraId="41548CE6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1597A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color_intensity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C8A23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CC25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2</w:t>
            </w:r>
          </w:p>
        </w:tc>
      </w:tr>
      <w:tr w14:paraId="746D5253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BB29F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hue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D050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278A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</w:t>
            </w:r>
          </w:p>
        </w:tc>
      </w:tr>
      <w:tr w14:paraId="01EC8110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DD774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od280/od315_of_diluted_wines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102CF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CF7C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</w:tr>
      <w:tr w14:paraId="52BF6C1D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9F963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proline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3859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B5B9D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9"/>
              </w:rPr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</w:t>
            </w:r>
          </w:p>
        </w:tc>
      </w:tr>
      <w:tr w14:paraId="6FC69CBE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9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11669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合计</w:t>
            </w:r>
          </w:p>
        </w:tc>
        <w:tc>
          <w:tcPr>
            <w:tcW w:w="152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5C7B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42</w:t>
            </w:r>
          </w:p>
        </w:tc>
        <w:tc>
          <w:tcPr>
            <w:tcW w:w="200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E6F4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13</w:t>
            </w:r>
          </w:p>
        </w:tc>
      </w:tr>
    </w:tbl>
    <w:p w14:paraId="2D24BF2A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</w:p>
    <w:p w14:paraId="66481A0A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IQR 标记的值分布在 38 行中，Z-score 的标记涉及 12 行，两种方法都找到了主动加入的异常点。标记数量不同，还不足以判断哪种方法更准确。两组结果也不是简单的包含关系，例如 flavanoids 只被 Z-score 标记。除主动改动的那个值外，其余被标记的值是否有误，还需要结合实际情况判断。</w:t>
      </w:r>
    </w:p>
    <w:p w14:paraId="68AB979A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根据输出手算 magnesium 的边界：Q1=89、Q3=106，所以 IQR=17，下界为 63.5，上界为 131.5。盖帽后共有 42 个单元格改变，加入的极大值也从 1000 变为 131.5。数据仍为 178×13，没有缺失值，也没有值超出原先的固定边界；处理前的 X_outlier 中，该位置仍是 1000。</w:t>
      </w:r>
    </w:p>
    <w:p w14:paraId="6EA54FE2">
      <w:pPr>
        <w:keepNext/>
        <w:spacing w:after="40"/>
        <w:jc w:val="center"/>
      </w:pPr>
      <w:r>
        <w:drawing>
          <wp:inline distT="0" distB="0" distL="114300" distR="114300">
            <wp:extent cx="5039360" cy="2774315"/>
            <wp:effectExtent l="0" t="0" r="2540" b="6985"/>
            <wp:docPr id="1260220706" name="Picture 1260220706" descr="magnesium 盖帽前后对比，共用纵轴；红线为原上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6" name="Picture 1260220706" descr="magnesium 盖帽前后对比，共用纵轴；红线为原上界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4E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>图 4  magnesium 盖帽前后对比 红线为原 IQR 上界</w:t>
      </w:r>
    </w:p>
    <w:p w14:paraId="6F6242FD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盖帽限制了极端值的影响，但也可能改动真实存在的少见样本，因此不能只看到异常点减少，就认为处理一定更好。另外，后面的箱线图会根据处理后的数据重新计算四分位数，即使没有值超出原边界，图中仍可能出现独立点。</w:t>
      </w:r>
    </w:p>
    <w:p w14:paraId="1C6A84D3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bookmarkStart w:id="19" w:name="_Toc14409"/>
      <w:r>
        <w:rPr>
          <w:rFonts w:ascii="Calibri" w:hAnsi="Calibri" w:eastAsia="宋体"/>
          <w:b/>
          <w:color w:val="000000"/>
          <w:sz w:val="24"/>
        </w:rPr>
        <w:t>4 规范化结果</w:t>
      </w:r>
      <w:bookmarkEnd w:id="19"/>
    </w:p>
    <w:p w14:paraId="463D8A30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两种缩放都分别从 X_capped 开始，结果仍为 178×13。Min-Max 后，每列最小值约为 0、最大值约为 1；Z-score 后，每列均值约为 0、总体标准差约为 1。四项 np.allclose 检查都为 True。表中显示的负零，是接近零的浮点数经过舍入后的显示结果。</w:t>
      </w:r>
    </w:p>
    <w:p w14:paraId="74E1F745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下表比较盖帽后的数据与两种缩放结果，数值保留四位小数，所有标准差均使用 ddof=0。</w:t>
      </w:r>
    </w:p>
    <w:p w14:paraId="143315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  <w:b w:val="0"/>
          <w:color w:val="000000"/>
          <w:sz w:val="18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>表 6  规范化前后统计量对比</w:t>
      </w:r>
    </w:p>
    <w:tbl>
      <w:tblPr>
        <w:tblStyle w:val="14"/>
        <w:tblW w:w="0" w:type="auto"/>
        <w:jc w:val="center"/>
        <w:tblBorders>
          <w:top w:val="single" w:color="000000" w:sz="10" w:space="0"/>
          <w:left w:val="none" w:color="000000" w:sz="0" w:space="0"/>
          <w:bottom w:val="single" w:color="000000" w:sz="1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948"/>
        <w:gridCol w:w="948"/>
        <w:gridCol w:w="948"/>
        <w:gridCol w:w="948"/>
        <w:gridCol w:w="948"/>
        <w:gridCol w:w="948"/>
      </w:tblGrid>
      <w:tr w14:paraId="0930B09F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92" w:type="dxa"/>
            <w:tcBorders>
              <w:bottom w:val="single" w:color="auto" w:sz="4" w:space="0"/>
            </w:tcBorders>
            <w:shd w:val="clear" w:color="auto" w:fill="E7E6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F45F17">
            <w:pPr>
              <w:snapToGrid w:val="0"/>
              <w:spacing w:after="0" w:line="220" w:lineRule="exact"/>
              <w:jc w:val="left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特征</w:t>
            </w:r>
          </w:p>
        </w:tc>
        <w:tc>
          <w:tcPr>
            <w:tcW w:w="948" w:type="dxa"/>
            <w:tcBorders>
              <w:bottom w:val="single" w:color="auto" w:sz="4" w:space="0"/>
            </w:tcBorders>
            <w:shd w:val="clear" w:color="auto" w:fill="E7E6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9AEEF8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缩放前</w:t>
            </w:r>
            <w:r>
              <w:rPr>
                <w:rFonts w:ascii="Calibri" w:hAnsi="Calibri" w:eastAsia="宋体"/>
                <w:b/>
                <w:color w:val="000000"/>
                <w:sz w:val="17"/>
              </w:rPr>
              <w:br w:type="textWrapping"/>
            </w:r>
            <w:r>
              <w:rPr>
                <w:rFonts w:ascii="Calibri" w:hAnsi="Calibri" w:eastAsia="宋体"/>
                <w:b/>
                <w:color w:val="000000"/>
                <w:sz w:val="17"/>
              </w:rPr>
              <w:t>均值</w:t>
            </w:r>
          </w:p>
        </w:tc>
        <w:tc>
          <w:tcPr>
            <w:tcW w:w="948" w:type="dxa"/>
            <w:tcBorders>
              <w:bottom w:val="single" w:color="auto" w:sz="4" w:space="0"/>
            </w:tcBorders>
            <w:shd w:val="clear" w:color="auto" w:fill="E7E6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AA118A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缩放前</w:t>
            </w:r>
            <w:r>
              <w:rPr>
                <w:rFonts w:ascii="Calibri" w:hAnsi="Calibri" w:eastAsia="宋体"/>
                <w:b/>
                <w:color w:val="000000"/>
                <w:sz w:val="17"/>
              </w:rPr>
              <w:br w:type="textWrapping"/>
            </w:r>
            <w:r>
              <w:rPr>
                <w:rFonts w:ascii="Calibri" w:hAnsi="Calibri" w:eastAsia="宋体"/>
                <w:b/>
                <w:color w:val="000000"/>
                <w:sz w:val="17"/>
              </w:rPr>
              <w:t>标准差</w:t>
            </w:r>
          </w:p>
        </w:tc>
        <w:tc>
          <w:tcPr>
            <w:tcW w:w="948" w:type="dxa"/>
            <w:tcBorders>
              <w:bottom w:val="single" w:color="auto" w:sz="4" w:space="0"/>
            </w:tcBorders>
            <w:shd w:val="clear" w:color="auto" w:fill="E7E6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849BCD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Min-Max</w:t>
            </w:r>
            <w:r>
              <w:rPr>
                <w:rFonts w:ascii="Calibri" w:hAnsi="Calibri" w:eastAsia="宋体"/>
                <w:b/>
                <w:color w:val="000000"/>
                <w:sz w:val="17"/>
              </w:rPr>
              <w:br w:type="textWrapping"/>
            </w:r>
            <w:r>
              <w:rPr>
                <w:rFonts w:ascii="Calibri" w:hAnsi="Calibri" w:eastAsia="宋体"/>
                <w:b/>
                <w:color w:val="000000"/>
                <w:sz w:val="17"/>
              </w:rPr>
              <w:t>均值</w:t>
            </w:r>
          </w:p>
        </w:tc>
        <w:tc>
          <w:tcPr>
            <w:tcW w:w="948" w:type="dxa"/>
            <w:tcBorders>
              <w:bottom w:val="single" w:color="auto" w:sz="4" w:space="0"/>
            </w:tcBorders>
            <w:shd w:val="clear" w:color="auto" w:fill="E7E6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472C72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Min-Max</w:t>
            </w:r>
            <w:r>
              <w:rPr>
                <w:rFonts w:ascii="Calibri" w:hAnsi="Calibri" w:eastAsia="宋体"/>
                <w:b/>
                <w:color w:val="000000"/>
                <w:sz w:val="17"/>
              </w:rPr>
              <w:br w:type="textWrapping"/>
            </w:r>
            <w:r>
              <w:rPr>
                <w:rFonts w:ascii="Calibri" w:hAnsi="Calibri" w:eastAsia="宋体"/>
                <w:b/>
                <w:color w:val="000000"/>
                <w:sz w:val="17"/>
              </w:rPr>
              <w:t>标准差</w:t>
            </w:r>
          </w:p>
        </w:tc>
        <w:tc>
          <w:tcPr>
            <w:tcW w:w="948" w:type="dxa"/>
            <w:tcBorders>
              <w:bottom w:val="single" w:color="auto" w:sz="4" w:space="0"/>
            </w:tcBorders>
            <w:shd w:val="clear" w:color="auto" w:fill="E7E6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7A3458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Z-score</w:t>
            </w:r>
            <w:r>
              <w:rPr>
                <w:rFonts w:ascii="Calibri" w:hAnsi="Calibri" w:eastAsia="宋体"/>
                <w:b/>
                <w:color w:val="000000"/>
                <w:sz w:val="17"/>
              </w:rPr>
              <w:br w:type="textWrapping"/>
            </w:r>
            <w:r>
              <w:rPr>
                <w:rFonts w:ascii="Calibri" w:hAnsi="Calibri" w:eastAsia="宋体"/>
                <w:b/>
                <w:color w:val="000000"/>
                <w:sz w:val="17"/>
              </w:rPr>
              <w:t>均值</w:t>
            </w:r>
          </w:p>
        </w:tc>
        <w:tc>
          <w:tcPr>
            <w:tcW w:w="948" w:type="dxa"/>
            <w:tcBorders>
              <w:bottom w:val="single" w:color="auto" w:sz="4" w:space="0"/>
            </w:tcBorders>
            <w:shd w:val="clear" w:color="auto" w:fill="E7E6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5847A7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Z-score</w:t>
            </w:r>
            <w:r>
              <w:rPr>
                <w:rFonts w:ascii="Calibri" w:hAnsi="Calibri" w:eastAsia="宋体"/>
                <w:b/>
                <w:color w:val="000000"/>
                <w:sz w:val="17"/>
              </w:rPr>
              <w:br w:type="textWrapping"/>
            </w:r>
            <w:r>
              <w:rPr>
                <w:rFonts w:ascii="Calibri" w:hAnsi="Calibri" w:eastAsia="宋体"/>
                <w:b/>
                <w:color w:val="000000"/>
                <w:sz w:val="17"/>
              </w:rPr>
              <w:t>标准差</w:t>
            </w:r>
          </w:p>
        </w:tc>
      </w:tr>
      <w:tr w14:paraId="0971BC73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6E5935">
            <w:pPr>
              <w:snapToGrid w:val="0"/>
              <w:spacing w:after="0" w:line="22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alcohol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8FFCC8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13.0121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EB2766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0.7966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73D4AF3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0.5216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2604889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0.2096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796770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0.0000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4C4343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1.0000</w:t>
            </w:r>
          </w:p>
        </w:tc>
      </w:tr>
      <w:tr w14:paraId="300856C6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4931D6">
            <w:pPr>
              <w:snapToGrid w:val="0"/>
              <w:spacing w:after="0" w:line="22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malic_acid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017F7F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2.2937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C0BC6B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1.0216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40FA0A7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0.3860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7D4E7E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0.2538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C0D50E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0.0000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4A82B6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1.0000</w:t>
            </w:r>
          </w:p>
        </w:tc>
      </w:tr>
      <w:tr w14:paraId="7E259FCA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CE8729">
            <w:pPr>
              <w:snapToGrid w:val="0"/>
              <w:spacing w:after="0" w:line="22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ash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0CFD37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2.3680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DD7364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0.2569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0FF959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0.4911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C689C3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0.1917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DD063A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0.0000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C320A3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1.0000</w:t>
            </w:r>
          </w:p>
        </w:tc>
      </w:tr>
      <w:tr w14:paraId="4C357CC0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6C0739">
            <w:pPr>
              <w:snapToGrid w:val="0"/>
              <w:spacing w:after="0" w:line="22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alcalinity_of_ash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32CD4F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19.4914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976084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3.1968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3BEC97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0.5018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4CD17F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0.1961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33670F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0.0000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F72BFC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1.0000</w:t>
            </w:r>
          </w:p>
        </w:tc>
      </w:tr>
      <w:tr w14:paraId="04992F21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796200">
            <w:pPr>
              <w:snapToGrid w:val="0"/>
              <w:spacing w:after="0" w:line="22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magnesium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6DAFA4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99.4879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9B333B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12.6239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5FA2A5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0.4795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07076C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0.2053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E6F60C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0.0000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9CE5997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1.0000</w:t>
            </w:r>
          </w:p>
        </w:tc>
      </w:tr>
      <w:tr w14:paraId="1B74EA53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359628C">
            <w:pPr>
              <w:snapToGrid w:val="0"/>
              <w:spacing w:after="0" w:line="22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total_phenols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174EED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2.2833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275569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0.6060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AA1D2E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0.4494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1A5E34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0.2090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F6C9D2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0.0000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2EE225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1.0000</w:t>
            </w:r>
          </w:p>
        </w:tc>
      </w:tr>
      <w:tr w14:paraId="548ACF4E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972B6D">
            <w:pPr>
              <w:snapToGrid w:val="0"/>
              <w:spacing w:after="0" w:line="22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flavanoids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62982C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1.9943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85AFEB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0.9631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5B4154D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0.3490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3A7790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0.2032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1C4FAF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0.0000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09BB34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1.0000</w:t>
            </w:r>
          </w:p>
        </w:tc>
      </w:tr>
      <w:tr w14:paraId="288B8BCD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294EEA">
            <w:pPr>
              <w:snapToGrid w:val="0"/>
              <w:spacing w:after="0" w:line="22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nonflavanoid_phenols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431CF9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0.3645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D44478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0.1188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F5A1D3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0.4424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CB4EF6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0.2242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87DBD0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0.0000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6F7759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1.0000</w:t>
            </w:r>
          </w:p>
        </w:tc>
      </w:tr>
      <w:tr w14:paraId="4A8F9418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872BE6">
            <w:pPr>
              <w:snapToGrid w:val="0"/>
              <w:spacing w:after="0" w:line="22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proanthocyanins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09B949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1.5710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46A27B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0.5225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B71177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0.4858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600243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0.2186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ADB63A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0.0000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4165D9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1.0000</w:t>
            </w:r>
          </w:p>
        </w:tc>
      </w:tr>
      <w:tr w14:paraId="418AA8E6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6E8CD7">
            <w:pPr>
              <w:snapToGrid w:val="0"/>
              <w:spacing w:after="0" w:line="22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color_intensity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5F303C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4.9001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E765B8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2.0447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7F6CEC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0.4327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56A684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0.2444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A4D4EE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0.0000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DBD95A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1.0000</w:t>
            </w:r>
          </w:p>
        </w:tc>
      </w:tr>
      <w:tr w14:paraId="00B07E6A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179937">
            <w:pPr>
              <w:snapToGrid w:val="0"/>
              <w:spacing w:after="0" w:line="22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hue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03778A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0.9584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C5171C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0.2204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2C7310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0.4295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F88B2E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0.1979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EC0E67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0.0000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E2696B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1.0000</w:t>
            </w:r>
          </w:p>
        </w:tc>
      </w:tr>
      <w:tr w14:paraId="2F0BBFEC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AEEC00">
            <w:pPr>
              <w:snapToGrid w:val="0"/>
              <w:spacing w:after="0" w:line="22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od280/od315_of_diluted_wines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75B2AD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2.5940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3BEED4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0.6868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8C52D6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0.4850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7D8409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0.2516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2D454B7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0.0000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CD1796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1.0000</w:t>
            </w:r>
          </w:p>
        </w:tc>
      </w:tr>
      <w:tr w14:paraId="109A851E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E87C7A">
            <w:pPr>
              <w:snapToGrid w:val="0"/>
              <w:spacing w:after="0" w:line="22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proline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CAC6C1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743.6895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B373E8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295.9971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23679D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0.3803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953659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0.2417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8A1BD1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0.0000</w:t>
            </w:r>
          </w:p>
        </w:tc>
        <w:tc>
          <w:tcPr>
            <w:tcW w:w="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081CCB">
            <w:pPr>
              <w:snapToGrid w:val="0"/>
              <w:spacing w:after="0" w:line="22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1.0000</w:t>
            </w:r>
          </w:p>
        </w:tc>
      </w:tr>
    </w:tbl>
    <w:p w14:paraId="6E3F796A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</w:p>
    <w:p w14:paraId="4F9F4EB4">
      <w:pPr>
        <w:keepNext/>
        <w:spacing w:after="40"/>
        <w:jc w:val="center"/>
      </w:pPr>
      <w:r>
        <w:drawing>
          <wp:inline distT="0" distB="0" distL="114300" distR="114300">
            <wp:extent cx="5166360" cy="5166360"/>
            <wp:effectExtent l="0" t="0" r="2540" b="2540"/>
            <wp:docPr id="1260220707" name="Picture 1260220707" descr="规范化前后全特征箱线图，各子图独立纵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7" name="Picture 1260220707" descr="规范化前后全特征箱线图，各子图独立纵轴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BA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  <w:b w:val="0"/>
          <w:color w:val="000000"/>
          <w:sz w:val="18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>图 5  规范化前后箱线图 各子图使用各自纵轴</w:t>
      </w:r>
    </w:p>
    <w:p w14:paraId="49B1065B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缩放前，proline 的数值尺度最突出。Min-Max 后，各列箱体的高度和位置仍有差别；Z-score 后，中位数线也没有全部落在 0 上。这与之前的预测一致：统一尺度并不会把各列变成相同的分布。</w:t>
      </w:r>
    </w:p>
    <w:p w14:paraId="1ECCCBC1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bookmarkStart w:id="20" w:name="_Toc1959"/>
      <w:r>
        <w:rPr>
          <w:rFonts w:ascii="Calibri" w:hAnsi="Calibri" w:eastAsia="宋体"/>
          <w:b/>
          <w:color w:val="000000"/>
          <w:sz w:val="24"/>
        </w:rPr>
        <w:t>5 编码结果</w:t>
      </w:r>
      <w:bookmarkEnd w:id="20"/>
    </w:p>
    <w:p w14:paraId="63B34586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Wine 类别的独热编码结果为 178×3，列名是 class_0、class_1、class_2。每行之和都是 1，索引也与特征表对齐，两项检查均为 True。取索引 0、59、130 的样本核对，它们的类别分别为 0、1、2，对应 [1,0,0]、[0,1,0]、[0,0,1]。</w:t>
      </w:r>
    </w:p>
    <w:p w14:paraId="311ADC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  <w:b w:val="0"/>
          <w:color w:val="000000"/>
          <w:sz w:val="18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>表 7  Wine 类别独热编码示例</w:t>
      </w:r>
    </w:p>
    <w:tbl>
      <w:tblPr>
        <w:tblStyle w:val="14"/>
        <w:tblW w:w="0" w:type="auto"/>
        <w:jc w:val="center"/>
        <w:tblBorders>
          <w:top w:val="single" w:color="000000" w:sz="10" w:space="0"/>
          <w:left w:val="none" w:color="000000" w:sz="0" w:space="0"/>
          <w:bottom w:val="single" w:color="000000" w:sz="1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160"/>
        <w:gridCol w:w="2160"/>
        <w:gridCol w:w="2232"/>
      </w:tblGrid>
      <w:tr w14:paraId="7A2E975F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cantSplit/>
          <w:tblHeader/>
          <w:jc w:val="center"/>
        </w:trPr>
        <w:tc>
          <w:tcPr>
            <w:tcW w:w="1728" w:type="dxa"/>
            <w:tcBorders>
              <w:bottom w:val="single" w:color="auto" w:sz="4" w:space="0"/>
            </w:tcBorders>
            <w:shd w:val="clear" w:color="auto" w:fill="E7E6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925560">
            <w:pPr>
              <w:keepNext/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target</w:t>
            </w:r>
          </w:p>
        </w:tc>
        <w:tc>
          <w:tcPr>
            <w:tcW w:w="2160" w:type="dxa"/>
            <w:tcBorders>
              <w:bottom w:val="single" w:color="auto" w:sz="4" w:space="0"/>
            </w:tcBorders>
            <w:shd w:val="clear" w:color="auto" w:fill="E7E6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1F5908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class_0</w:t>
            </w:r>
          </w:p>
        </w:tc>
        <w:tc>
          <w:tcPr>
            <w:tcW w:w="2160" w:type="dxa"/>
            <w:tcBorders>
              <w:bottom w:val="single" w:color="auto" w:sz="4" w:space="0"/>
            </w:tcBorders>
            <w:shd w:val="clear" w:color="auto" w:fill="E7E6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33E3603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class_1</w:t>
            </w:r>
          </w:p>
        </w:tc>
        <w:tc>
          <w:tcPr>
            <w:tcW w:w="2232" w:type="dxa"/>
            <w:tcBorders>
              <w:bottom w:val="single" w:color="auto" w:sz="4" w:space="0"/>
            </w:tcBorders>
            <w:shd w:val="clear" w:color="auto" w:fill="E7E6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6CA15C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class_2</w:t>
            </w:r>
          </w:p>
        </w:tc>
      </w:tr>
      <w:tr w14:paraId="12A95E4E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E6DD75">
            <w:pPr>
              <w:keepNext/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w="216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FB947C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16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CAF6FD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w="223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41C75E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</w:tr>
      <w:tr w14:paraId="67B67A33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19030B">
            <w:pPr>
              <w:keepNext/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16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429D1F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w="216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3B5266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3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D46C6A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</w:tr>
      <w:tr w14:paraId="7B7AC59C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C0A207">
            <w:pPr>
              <w:keepNext w:val="0"/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16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F4F95D">
            <w:pPr>
              <w:keepNext w:val="0"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w="216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8CD765">
            <w:pPr>
              <w:keepNext w:val="0"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w="223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D65ED7">
            <w:pPr>
              <w:keepNext w:val="0"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</w:t>
            </w:r>
          </w:p>
        </w:tc>
      </w:tr>
    </w:tbl>
    <w:p w14:paraId="6B09DA6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</w:p>
    <w:p w14:paraId="34F5BD50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在单独的颜色样例中，标签编码得到 blue=0、green=1、red=2，独热编码则生成 color_blue、color_green、color_red 三列。经过这个例子，我理解了每个类别对应一列、每个样本占一行。标签编号只是编码规则，两个编号相差多少，并不能说明两种颜色实际相差多少。</w:t>
      </w:r>
    </w:p>
    <w:p w14:paraId="455BF8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  <w:b w:val="0"/>
          <w:color w:val="000000"/>
          <w:sz w:val="18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>表 8  颜色样例的两种编码</w:t>
      </w:r>
    </w:p>
    <w:tbl>
      <w:tblPr>
        <w:tblStyle w:val="14"/>
        <w:tblW w:w="0" w:type="auto"/>
        <w:jc w:val="center"/>
        <w:tblBorders>
          <w:top w:val="single" w:color="000000" w:sz="10" w:space="0"/>
          <w:left w:val="none" w:color="000000" w:sz="0" w:space="0"/>
          <w:bottom w:val="single" w:color="000000" w:sz="1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12"/>
        <w:gridCol w:w="1728"/>
        <w:gridCol w:w="1728"/>
        <w:gridCol w:w="1728"/>
      </w:tblGrid>
      <w:tr w14:paraId="2DC73C6D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tcBorders>
              <w:bottom w:val="single" w:color="auto" w:sz="4" w:space="0"/>
            </w:tcBorders>
            <w:shd w:val="clear" w:color="auto" w:fill="E7E6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B38447">
            <w:pPr>
              <w:keepNext/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颜色</w:t>
            </w:r>
          </w:p>
        </w:tc>
        <w:tc>
          <w:tcPr>
            <w:tcW w:w="1512" w:type="dxa"/>
            <w:tcBorders>
              <w:bottom w:val="single" w:color="auto" w:sz="4" w:space="0"/>
            </w:tcBorders>
            <w:shd w:val="clear" w:color="auto" w:fill="E7E6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6CCF38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标签编码</w:t>
            </w:r>
          </w:p>
        </w:tc>
        <w:tc>
          <w:tcPr>
            <w:tcW w:w="1728" w:type="dxa"/>
            <w:tcBorders>
              <w:bottom w:val="single" w:color="auto" w:sz="4" w:space="0"/>
            </w:tcBorders>
            <w:shd w:val="clear" w:color="auto" w:fill="E7E6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A2F813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color_blue</w:t>
            </w:r>
          </w:p>
        </w:tc>
        <w:tc>
          <w:tcPr>
            <w:tcW w:w="1728" w:type="dxa"/>
            <w:tcBorders>
              <w:bottom w:val="single" w:color="auto" w:sz="4" w:space="0"/>
            </w:tcBorders>
            <w:shd w:val="clear" w:color="auto" w:fill="E7E6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F9DB9B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color_green</w:t>
            </w:r>
          </w:p>
        </w:tc>
        <w:tc>
          <w:tcPr>
            <w:tcW w:w="1728" w:type="dxa"/>
            <w:tcBorders>
              <w:bottom w:val="single" w:color="auto" w:sz="4" w:space="0"/>
            </w:tcBorders>
            <w:shd w:val="clear" w:color="auto" w:fill="E7E6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D99F9D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color_red</w:t>
            </w:r>
          </w:p>
        </w:tc>
      </w:tr>
      <w:tr w14:paraId="7AB2D0D9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26700A">
            <w:pPr>
              <w:keepNext/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red</w:t>
            </w:r>
          </w:p>
        </w:tc>
        <w:tc>
          <w:tcPr>
            <w:tcW w:w="15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FC729B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1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E56C7A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w="1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A1D088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w="1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B1D9AE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</w:t>
            </w:r>
          </w:p>
        </w:tc>
      </w:tr>
      <w:tr w14:paraId="02CF2DA2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E6310E">
            <w:pPr>
              <w:keepNext/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green</w:t>
            </w:r>
          </w:p>
        </w:tc>
        <w:tc>
          <w:tcPr>
            <w:tcW w:w="15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35C793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1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027AEF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w="1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DD03BE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1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09E90D">
            <w:pPr>
              <w:keepNext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</w:tr>
      <w:tr w14:paraId="5D66E0D8">
        <w:tblPrEx>
          <w:tblBorders>
            <w:top w:val="single" w:color="000000" w:sz="1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50C5F4">
            <w:pPr>
              <w:keepNext w:val="0"/>
              <w:snapToGrid w:val="0"/>
              <w:spacing w:after="0" w:line="240" w:lineRule="exact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blue</w:t>
            </w:r>
          </w:p>
        </w:tc>
        <w:tc>
          <w:tcPr>
            <w:tcW w:w="15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83109F">
            <w:pPr>
              <w:keepNext w:val="0"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w="1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31A711">
            <w:pPr>
              <w:keepNext w:val="0"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1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62BD45">
            <w:pPr>
              <w:keepNext w:val="0"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w="1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310E2A">
            <w:pPr>
              <w:keepNext w:val="0"/>
              <w:snapToGrid w:val="0"/>
              <w:spacing w:after="0" w:line="240" w:lineRule="exact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</w:t>
            </w:r>
          </w:p>
        </w:tc>
      </w:tr>
    </w:tbl>
    <w:p w14:paraId="575E4246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</w:p>
    <w:p w14:paraId="3E64B125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bookmarkStart w:id="21" w:name="_Toc8222"/>
      <w:r>
        <w:rPr>
          <w:rFonts w:ascii="Calibri" w:hAnsi="Calibri" w:eastAsia="宋体"/>
          <w:b/>
          <w:color w:val="000000"/>
          <w:sz w:val="24"/>
        </w:rPr>
        <w:t>6 预处理对数据质量的影响</w:t>
      </w:r>
      <w:bookmarkEnd w:id="21"/>
    </w:p>
    <w:p w14:paraId="493A5D92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经过处理，特征表没有缺失值，盖帽后的数据也都在原固定边界内，两种缩放和编码检查通过。不过，这些检查只说明操作达到了设定要求。删除法从 178 行减少到 78 行，填充改变了分布，盖帽也可能改动真实的少见值，因此还需要结合使用目的判断处理是否合适。本次没有训练模型，不能据此断言预测效果已经提高。</w:t>
      </w:r>
    </w:p>
    <w:p w14:paraId="4B21A587">
      <w:pPr>
        <w:pStyle w:val="3"/>
        <w:keepNext/>
        <w:widowControl/>
        <w:bidi w:val="0"/>
        <w:spacing w:before="200" w:after="140"/>
      </w:pPr>
      <w:bookmarkStart w:id="22" w:name="_Toc18167"/>
      <w:r>
        <w:t>思考题作答</w:t>
      </w:r>
      <w:bookmarkEnd w:id="22"/>
    </w:p>
    <w:p w14:paraId="54766B32">
      <w:pPr>
        <w:keepNext w:val="0"/>
        <w:keepLines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425" w:leftChars="0" w:hanging="425" w:firstLineChars="0"/>
        <w:jc w:val="both"/>
        <w:textAlignment w:val="auto"/>
        <w:rPr>
          <w:rFonts w:ascii="Calibri" w:hAnsi="Calibri" w:eastAsia="宋体"/>
          <w:b/>
          <w:bCs/>
          <w:color w:val="000000"/>
          <w:sz w:val="21"/>
        </w:rPr>
      </w:pPr>
      <w:r>
        <w:rPr>
          <w:rFonts w:ascii="Calibri" w:hAnsi="Calibri" w:eastAsia="宋体"/>
          <w:b/>
          <w:bCs/>
          <w:color w:val="000000"/>
          <w:sz w:val="21"/>
        </w:rPr>
        <w:t>均值填充和中位数填充各有什么优缺点？在什么情况下应优先选择中位数填充？</w:t>
      </w:r>
    </w:p>
    <w:p w14:paraId="7242103E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均值填充计算简单，分布较对称、没有明显极端值时可以考虑，但它容易被特别大或特别小的值影响。中位数对这些值较不敏感，所以遇到明显偏态的特征时，我会优先考虑中位数。不过，两种方法都会在填充值附近增加数据，可能减小方差、改变特征之间的关系，也不能恢复原来的真实值。对称分布中的均值和中位数可能很接近，不能简单认为中位数会破坏趋势。本次 malic_acid 在两种填充后的标准差都下降了，统计量也没有恢复到原始状态。</w:t>
      </w:r>
    </w:p>
    <w:p w14:paraId="03FC9C00">
      <w:pPr>
        <w:keepNext w:val="0"/>
        <w:keepLines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425" w:leftChars="0" w:hanging="425" w:firstLineChars="0"/>
        <w:jc w:val="both"/>
        <w:textAlignment w:val="auto"/>
        <w:rPr>
          <w:rFonts w:ascii="Calibri" w:hAnsi="Calibri" w:eastAsia="宋体"/>
          <w:b/>
          <w:bCs/>
          <w:color w:val="000000"/>
          <w:sz w:val="21"/>
        </w:rPr>
      </w:pPr>
      <w:r>
        <w:rPr>
          <w:rFonts w:ascii="Calibri" w:hAnsi="Calibri" w:eastAsia="宋体"/>
          <w:b/>
          <w:bCs/>
          <w:color w:val="000000"/>
          <w:sz w:val="21"/>
        </w:rPr>
        <w:t>箱线图法和 Z-score 法在异常值检测中分别适用于什么类型的数据分布？如果数据呈现明显的偏态分布，哪种方法更可靠？</w:t>
      </w:r>
    </w:p>
    <w:p w14:paraId="52A8720B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对接近正态分布的数据，用 Z-score 的绝对值大于 3 来识别异常较容易解释。但它依赖均值和标准差，这两个量都可能受极端值影响。IQR 使用分位数，通常对单个极大值更稳健，因此明显偏态时我会先考虑它。不过，偏态长尾中的真实值也可能被标记，仍需结合数据背景判断。检测本身不修改数据，盖帽才会替换数值。另外，整列数值都乘以 10 时，均值和标准差也同比变化，Z-score 不变，所以不能根据原始标准差较小，就认为 Z-score 更适合。</w:t>
      </w:r>
    </w:p>
    <w:p w14:paraId="779C51B2">
      <w:pPr>
        <w:keepNext w:val="0"/>
        <w:keepLines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425" w:leftChars="0" w:hanging="425" w:firstLineChars="0"/>
        <w:jc w:val="both"/>
        <w:textAlignment w:val="auto"/>
        <w:rPr>
          <w:rFonts w:ascii="Calibri" w:hAnsi="Calibri" w:eastAsia="宋体"/>
          <w:b/>
          <w:bCs/>
          <w:color w:val="000000"/>
          <w:sz w:val="21"/>
        </w:rPr>
      </w:pPr>
      <w:r>
        <w:rPr>
          <w:rFonts w:ascii="Calibri" w:hAnsi="Calibri" w:eastAsia="宋体"/>
          <w:b/>
          <w:bCs/>
          <w:color w:val="000000"/>
          <w:sz w:val="21"/>
        </w:rPr>
        <w:t>对于高维稀疏数据（如文本词频矩阵），Min-Max 标准化和 Z-score 标准化哪种更合适？为什么？</w:t>
      </w:r>
    </w:p>
    <w:p w14:paraId="64A3738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如果是最小值为 0 的非负词频，Min-Max 在保留零方面比需要减均值的普通 Z-score 更合适，因为零仍会变成零。普通 Z-score 的中心化会把大量零变成非零，增加存储和计算开销。实际也可以使用 StandardScaler(with_mean=False)，只缩放、不减均值，保留稀疏结构，但这时不保证均值为 0。若 Min-Max 需要减去非零最小值，也未必能保留零；使用时还要确认工具是否支持稀疏输入。零表示已知没有出现，NaN 表示记录缺失，两者不能混淆。本题只作原理分析，没有运行稀疏矩阵实验。</w:t>
      </w:r>
    </w:p>
    <w:p w14:paraId="3BC771D1">
      <w:pPr>
        <w:keepNext w:val="0"/>
        <w:keepLines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425" w:leftChars="0" w:hanging="425" w:firstLineChars="0"/>
        <w:jc w:val="both"/>
        <w:textAlignment w:val="auto"/>
        <w:rPr>
          <w:rFonts w:ascii="Calibri" w:hAnsi="Calibri" w:eastAsia="宋体"/>
          <w:b/>
          <w:bCs/>
          <w:color w:val="000000"/>
          <w:sz w:val="21"/>
        </w:rPr>
      </w:pPr>
      <w:r>
        <w:rPr>
          <w:rFonts w:ascii="Calibri" w:hAnsi="Calibri" w:eastAsia="宋体"/>
          <w:b/>
          <w:bCs/>
          <w:color w:val="000000"/>
          <w:sz w:val="21"/>
        </w:rPr>
        <w:t>在实际工业生产或商业场景中，数据预处理可能面临哪些比本实验更复杂的挑战？请结合具体场景（如传感器数据流、用户行为日志、医疗记录等）展开论述，并提出你的处理思路。</w:t>
      </w:r>
    </w:p>
    <w:p w14:paraId="1FA4778A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我选择用户行为日志作为例子。设备卡顿时，用户可能反复点击同一个按钮，也可能出现重复或看似矛盾的记录。我最初想在第一个矛盾处截断后面的操作，但这样容易误删正常行为。更合适的做法是保留原始日志，结合事件编号、会话和时间，区分真实的重复点击与网络重试上报，同时考虑日志延迟和乱序。</w:t>
      </w:r>
    </w:p>
    <w:p w14:paraId="5E68E7C6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另一个问题是用户断网或关闭页面，部分事件没能成功上传。缺少“购买成功”日志，并不一定表示没有购买。我想到可以先查到账记录，再结合订单号、支付流水号核对支付和订单状态。设备、IP、时间和金额可以作为辅助线索，但还不足以单独确认某笔订单。暂时无法确认的记录应保留为待核查，也要分清支付成功和后续退款。这部分是场景分析，没有连接真实日志或支付系统。</w:t>
      </w:r>
    </w:p>
    <w:p w14:paraId="5456AEED">
      <w:pPr>
        <w:pStyle w:val="3"/>
        <w:keepNext/>
        <w:widowControl/>
        <w:bidi w:val="0"/>
        <w:spacing w:before="200" w:after="140"/>
      </w:pPr>
      <w:bookmarkStart w:id="23" w:name="_Toc13791"/>
      <w:r>
        <w:t>实验总结</w:t>
      </w:r>
      <w:bookmarkEnd w:id="23"/>
    </w:p>
    <w:p w14:paraId="62645DC6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通过实际输出，我对几种处理方法的区别有了更具体的认识：缺失值占比不高，也可能让删除法损失很多样本</w:t>
      </w:r>
      <w:r>
        <w:rPr>
          <w:rFonts w:hint="eastAsia" w:ascii="Calibri" w:hAnsi="Calibri" w:eastAsia="宋体"/>
          <w:b w:val="0"/>
          <w:color w:val="000000"/>
          <w:sz w:val="21"/>
          <w:lang w:eastAsia="zh-CN"/>
        </w:rPr>
        <w:t>。</w:t>
      </w:r>
      <w:r>
        <w:rPr>
          <w:rFonts w:ascii="Calibri" w:hAnsi="Calibri" w:eastAsia="宋体"/>
          <w:b w:val="0"/>
          <w:color w:val="000000"/>
          <w:sz w:val="21"/>
        </w:rPr>
        <w:t>填充只是估计，并没有恢复真实记录</w:t>
      </w:r>
      <w:r>
        <w:rPr>
          <w:rFonts w:hint="eastAsia" w:ascii="Calibri" w:hAnsi="Calibri" w:eastAsia="宋体"/>
          <w:b w:val="0"/>
          <w:color w:val="000000"/>
          <w:sz w:val="21"/>
          <w:lang w:eastAsia="zh-CN"/>
        </w:rPr>
        <w:t>。</w:t>
      </w:r>
      <w:r>
        <w:rPr>
          <w:rFonts w:ascii="Calibri" w:hAnsi="Calibri" w:eastAsia="宋体"/>
          <w:b w:val="0"/>
          <w:color w:val="000000"/>
          <w:sz w:val="21"/>
        </w:rPr>
        <w:t>异常标记不等于数据错误</w:t>
      </w:r>
      <w:r>
        <w:rPr>
          <w:rFonts w:hint="eastAsia" w:ascii="Calibri" w:hAnsi="Calibri" w:eastAsia="宋体"/>
          <w:b w:val="0"/>
          <w:color w:val="000000"/>
          <w:sz w:val="21"/>
          <w:lang w:eastAsia="zh-CN"/>
        </w:rPr>
        <w:t>，</w:t>
      </w:r>
      <w:r>
        <w:rPr>
          <w:rFonts w:ascii="Calibri" w:hAnsi="Calibri" w:eastAsia="宋体"/>
          <w:b w:val="0"/>
          <w:color w:val="000000"/>
          <w:sz w:val="21"/>
        </w:rPr>
        <w:t>规范化统一尺度，也不会把各列变成相同分布。编码练习则帮助我区分了类别编号和类别本身的含义。</w:t>
      </w:r>
    </w:p>
    <w:p w14:paraId="0DE47005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实验中遇到过一次热力图报错，原因是当前内核中还没有定义 X。重新运行前面的加载单元后，图就正常显示了。这个过程让我理解到，Notebook 中还能看到旧输出，并不代表变量仍在内存中。最后重启内核，从头运行全部单元，保存的 16 个代码单元编号为 1–16，没有 error 输出，关键结果也与逐步操作时一致。</w:t>
      </w:r>
    </w:p>
    <w:p w14:paraId="721B9F7D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这次缺失值是人为独立随机加入的，明确知道的异常注入点也只有一个，和真实数据中的情况还有差别。本次也没有比较处理前后的模型性能，因此只能说明这些方法在当前数据上的具体变化，不能仅凭缺失值或异常标记减少，就认定数据质量已经最好。</w:t>
      </w:r>
      <w:bookmarkStart w:id="26" w:name="_GoBack"/>
      <w:bookmarkEnd w:id="26"/>
      <w:r>
        <w:br w:type="page"/>
      </w:r>
    </w:p>
    <w:p w14:paraId="4FDA1675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bookmarkStart w:id="24" w:name="_Toc18304"/>
      <w:r>
        <w:rPr>
          <w:rFonts w:ascii="Calibri" w:hAnsi="Calibri" w:eastAsia="宋体"/>
          <w:b/>
          <w:color w:val="000000"/>
          <w:sz w:val="24"/>
        </w:rPr>
        <w:t>附录 实验仓库与统计表</w:t>
      </w:r>
      <w:bookmarkEnd w:id="24"/>
    </w:p>
    <w:p>
      <w:pPr>
        <w:spacing w:before="80" w:after="100"/>
      </w:pPr>
      <w:r>
        <w:rPr>
          <w:rFonts w:eastAsia="宋体" w:ascii="Calibri" w:hAnsi="Calibri"/>
          <w:sz w:val="21"/>
        </w:rPr>
        <w:t>GitHub 公开仓库：</w:t>
      </w:r>
      <w:hyperlink r:id="rId13">
        <w:r>
          <w:rPr>
            <w:color w:val="0563C1"/>
            <w:u w:val="single"/>
            <w:sz w:val="21"/>
          </w:rPr>
          <w:t>https://github.com/lhe-xi/data-mining-lab1</w:t>
        </w:r>
      </w:hyperlink>
    </w:p>
    <w:p w14:paraId="4F1188BA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附表汇总了全部特征的均值和标准差，数值取自保存的输出，保留四位小数。各列依次是原始数据、缺失后有效值、删除缺失行、均值填充和中位数填充；标准差统一使用 ddof=1。</w:t>
      </w:r>
    </w:p>
    <w:p w14:paraId="3E603D61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</w:pPr>
      <w:r>
        <w:rPr>
          <w:rFonts w:ascii="Calibri" w:hAnsi="Calibri" w:eastAsia="宋体"/>
          <w:b w:val="0"/>
          <w:color w:val="000000"/>
          <w:sz w:val="18"/>
        </w:rPr>
        <w:t>表 9  全特征均值对比</w:t>
      </w:r>
    </w:p>
    <w:tbl>
      <w:tblPr>
        <w:tblStyle w:val="14"/>
        <w:tblW w:w="8123" w:type="dxa"/>
        <w:jc w:val="center"/>
        <w:tblBorders>
          <w:top w:val="none" w:color="B7B7B7" w:sz="4" w:space="0"/>
          <w:left w:val="none" w:color="B7B7B7" w:sz="4" w:space="0"/>
          <w:bottom w:val="none" w:color="B7B7B7" w:sz="4" w:space="0"/>
          <w:right w:val="none" w:color="B7B7B7" w:sz="4" w:space="0"/>
          <w:insideH w:val="none" w:color="B7B7B7" w:sz="4" w:space="0"/>
          <w:insideV w:val="none" w:color="B7B7B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8"/>
        <w:gridCol w:w="983"/>
        <w:gridCol w:w="983"/>
        <w:gridCol w:w="983"/>
        <w:gridCol w:w="1028"/>
        <w:gridCol w:w="1238"/>
      </w:tblGrid>
      <w:tr w14:paraId="6B488A99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4D5279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7"/>
              </w:rPr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特征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810AE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7"/>
              </w:rPr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原始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E8BEA9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7"/>
              </w:rPr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缺失后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D3764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7"/>
              </w:rPr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删除行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CBF93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7"/>
              </w:rPr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均值填充</w:t>
            </w:r>
          </w:p>
        </w:tc>
        <w:tc>
          <w:tcPr>
            <w:tcW w:w="123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8BE66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7"/>
              </w:rPr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中位数填充</w:t>
            </w:r>
          </w:p>
        </w:tc>
      </w:tr>
      <w:tr w14:paraId="1D39C64E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028A9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alcohol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C3F704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13.0006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72CDC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13.0121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CB1B0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12.9226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72F09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13.0121</w:t>
            </w:r>
          </w:p>
        </w:tc>
        <w:tc>
          <w:tcPr>
            <w:tcW w:w="123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ABB8D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13.0142</w:t>
            </w:r>
          </w:p>
        </w:tc>
      </w:tr>
      <w:tr w14:paraId="0C3B8A2A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FBA662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malic_acid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6C6D3F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2.3363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A283CC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2.3121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81C3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2.4294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0925D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2.3121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5D337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2.2877</w:t>
            </w:r>
          </w:p>
        </w:tc>
      </w:tr>
      <w:tr w14:paraId="43A27C58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F002A4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ash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F18CB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2.3665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49862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2.3679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7E494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2.3976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30FD83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2.3679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C3A5B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2.3675</w:t>
            </w:r>
          </w:p>
        </w:tc>
      </w:tr>
      <w:tr w14:paraId="21D77F1D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A85D88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alcalinity_of_ash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DFA05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19.4949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44B7A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19.5102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E0D22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19.8615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203BF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19.5102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CFA474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19.5096</w:t>
            </w:r>
          </w:p>
        </w:tc>
      </w:tr>
      <w:tr w14:paraId="3E16D446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2247C7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magnesium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D4CF6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99.7416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3CC74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99.8025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7B500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98.8077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C08C7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99.8025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CAFC58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99.6404</w:t>
            </w:r>
          </w:p>
        </w:tc>
      </w:tr>
      <w:tr w14:paraId="42C171C2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4F95E1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total_phenols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E960E0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2.2951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9ACBD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2.2833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A1617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2.2755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B0326C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2.2833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A97EF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2.2860</w:t>
            </w:r>
          </w:p>
        </w:tc>
      </w:tr>
      <w:tr w14:paraId="6FD87199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88415F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flavanoids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7D824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2.0293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7812E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1.9943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AB0A4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2.0115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15DC6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1.9943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E6155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1.9966</w:t>
            </w:r>
          </w:p>
        </w:tc>
      </w:tr>
      <w:tr w14:paraId="54D42C54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20044C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nonflavanoid_phenols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CCCC2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0.3619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17BDC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0.3645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95959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0.3814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E14A9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0.3645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A44833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0.3625</w:t>
            </w:r>
          </w:p>
        </w:tc>
      </w:tr>
      <w:tr w14:paraId="1FDF4F99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CE67AE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proanthocyanins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1089A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1.5909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96FE3D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1.5777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88F329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1.5481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C0513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1.5777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C87A2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1.5747</w:t>
            </w:r>
          </w:p>
        </w:tc>
      </w:tr>
      <w:tr w14:paraId="16C59829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78C386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color_intensity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889F6E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5.0581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50D16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4.9562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5B519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4.7786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9C81B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4.9562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CE8EE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4.9282</w:t>
            </w:r>
          </w:p>
        </w:tc>
      </w:tr>
      <w:tr w14:paraId="6272ED43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CEA513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hue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7D7F9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0.9574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76E05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0.9590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BAB65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0.9605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6FDC9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0.9590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10CAC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0.9591</w:t>
            </w:r>
          </w:p>
        </w:tc>
      </w:tr>
      <w:tr w14:paraId="5C058DD6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21AAE2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od280/od315_of_diluted_wines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CB251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2.6117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35C01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2.5940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9D0A9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2.6162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7AE928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2.5940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BD9B01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2.6049</w:t>
            </w:r>
          </w:p>
        </w:tc>
      </w:tr>
      <w:tr w14:paraId="27EBB921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0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7B391D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proline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AE6CC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746.8933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1ECCB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745.0491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EB4F9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704.5256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858E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745.0491</w:t>
            </w:r>
          </w:p>
        </w:tc>
        <w:tc>
          <w:tcPr>
            <w:tcW w:w="123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6EA3C8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738.8933</w:t>
            </w:r>
          </w:p>
        </w:tc>
      </w:tr>
    </w:tbl>
    <w:p w14:paraId="650DE8BB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</w:p>
    <w:p w14:paraId="4FF86CB2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</w:pPr>
      <w:r>
        <w:rPr>
          <w:rFonts w:ascii="Calibri" w:hAnsi="Calibri" w:eastAsia="宋体"/>
          <w:b w:val="0"/>
          <w:color w:val="000000"/>
          <w:sz w:val="18"/>
        </w:rPr>
        <w:t>表 10  全特征标准差对比</w:t>
      </w:r>
    </w:p>
    <w:tbl>
      <w:tblPr>
        <w:tblStyle w:val="14"/>
        <w:tblW w:w="8123" w:type="dxa"/>
        <w:jc w:val="center"/>
        <w:tblBorders>
          <w:top w:val="none" w:color="B7B7B7" w:sz="4" w:space="0"/>
          <w:left w:val="none" w:color="B7B7B7" w:sz="4" w:space="0"/>
          <w:bottom w:val="none" w:color="B7B7B7" w:sz="4" w:space="0"/>
          <w:right w:val="none" w:color="B7B7B7" w:sz="4" w:space="0"/>
          <w:insideH w:val="none" w:color="B7B7B7" w:sz="4" w:space="0"/>
          <w:insideV w:val="none" w:color="B7B7B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8"/>
        <w:gridCol w:w="983"/>
        <w:gridCol w:w="983"/>
        <w:gridCol w:w="983"/>
        <w:gridCol w:w="1028"/>
        <w:gridCol w:w="1238"/>
      </w:tblGrid>
      <w:tr w14:paraId="3B2FF66D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DAC35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7"/>
              </w:rPr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特征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BFF49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7"/>
              </w:rPr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原始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10D15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7"/>
              </w:rPr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缺失后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793CB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7"/>
              </w:rPr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删除行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144CE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7"/>
              </w:rPr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均值填充</w:t>
            </w:r>
          </w:p>
        </w:tc>
        <w:tc>
          <w:tcPr>
            <w:tcW w:w="123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7E6E6"/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286A8D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7"/>
              </w:rPr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中位数填充</w:t>
            </w:r>
          </w:p>
        </w:tc>
      </w:tr>
      <w:tr w14:paraId="61973D59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F84ABD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alcohol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81B1A2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0.8118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5F646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0.8224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0BDC2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0.7788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5F94D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0.7989</w:t>
            </w:r>
          </w:p>
        </w:tc>
        <w:tc>
          <w:tcPr>
            <w:tcW w:w="123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97397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0.7989</w:t>
            </w:r>
          </w:p>
        </w:tc>
      </w:tr>
      <w:tr w14:paraId="0E75260C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A36026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malic_acid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24257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1.1171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8813F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1.1034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248EB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1.1360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1706F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1.0750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F6ED3E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1.0802</w:t>
            </w:r>
          </w:p>
        </w:tc>
      </w:tr>
      <w:tr w14:paraId="4CDAFC21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AFC74D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ash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A2D476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0.2743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988D7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0.2770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9D144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0.2858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80583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0.2699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9CEE0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0.2699</w:t>
            </w:r>
          </w:p>
        </w:tc>
      </w:tr>
      <w:tr w14:paraId="12939E5B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63E0D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alcalinity_of_ash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6D4F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3.3396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C2CA1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3.3902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B76F0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3.3717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C0449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3.2832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B1EAF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3.2832</w:t>
            </w:r>
          </w:p>
        </w:tc>
      </w:tr>
      <w:tr w14:paraId="78482C80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8E0A00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magnesium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4B545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14.2825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9EA6F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14.3876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6BD10B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12.7606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C2B73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13.7220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F47A8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13.7317</w:t>
            </w:r>
          </w:p>
        </w:tc>
      </w:tr>
      <w:tr w14:paraId="4086CDB7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E74AFD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total_phenols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DAA89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0.6259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ABB99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0.6313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26277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0.5909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E0D22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0.6077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5CA5A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0.6078</w:t>
            </w:r>
          </w:p>
        </w:tc>
      </w:tr>
      <w:tr w14:paraId="3E98B744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2A2562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flavanoids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5CB04B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0.9989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A4116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0.9913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E4E24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1.0126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8F722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0.9658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FE323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0.9658</w:t>
            </w:r>
          </w:p>
        </w:tc>
      </w:tr>
      <w:tr w14:paraId="2C577444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E90A5B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nonflavanoid_phenols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716731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0.1245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EEDBF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0.1242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53B46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0.1254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B9ED0C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0.1192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A80FE3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0.1193</w:t>
            </w:r>
          </w:p>
        </w:tc>
      </w:tr>
      <w:tr w14:paraId="0B652BD6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205BBA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proanthocyanins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67442C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0.5724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BB3BC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0.5693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643A38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0.5525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66B91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0.5429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0FC74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0.5430</w:t>
            </w:r>
          </w:p>
        </w:tc>
      </w:tr>
      <w:tr w14:paraId="071C8177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64E63B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color_intensity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469A5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2.3183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F3B8C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2.2944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8B6F2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2.1494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96026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2.2018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4E12D7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2.2039</w:t>
            </w:r>
          </w:p>
        </w:tc>
      </w:tr>
      <w:tr w14:paraId="06C0535C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1C8A1D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hue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C3137E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0.2286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DE837C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35B0F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0.2299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B9073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0.2231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280E3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0.2231</w:t>
            </w:r>
          </w:p>
        </w:tc>
      </w:tr>
      <w:tr w14:paraId="20B0DD9B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F85E88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od280/od315_of_diluted_wines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F6E9F7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0.7100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88F44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0.7112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C5809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0.7222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40079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0.6888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67C4A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0.6901</w:t>
            </w:r>
          </w:p>
        </w:tc>
      </w:tr>
      <w:tr w14:paraId="00C33E86">
        <w:tblPrEx>
          <w:tblBorders>
            <w:top w:val="none" w:color="B7B7B7" w:sz="4" w:space="0"/>
            <w:left w:val="none" w:color="B7B7B7" w:sz="4" w:space="0"/>
            <w:bottom w:val="none" w:color="B7B7B7" w:sz="4" w:space="0"/>
            <w:right w:val="none" w:color="B7B7B7" w:sz="4" w:space="0"/>
            <w:insideH w:val="none" w:color="B7B7B7" w:sz="4" w:space="0"/>
            <w:insideV w:val="non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0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D2CDD4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proline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AEAC6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314.9075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DDD83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314.2302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ECB6B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285.7552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A87DCC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300.6206</w:t>
            </w:r>
          </w:p>
        </w:tc>
        <w:tc>
          <w:tcPr>
            <w:tcW w:w="123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A07E2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17"/>
              </w:rPr>
            </w:pPr>
            <w:r>
              <w:rPr>
                <w:rFonts w:ascii="Calibri" w:hAnsi="Calibri" w:eastAsia="宋体"/>
                <w:b w:val="0"/>
                <w:color w:val="000000"/>
                <w:sz w:val="17"/>
              </w:rPr>
              <w:t>301.3086</w:t>
            </w:r>
          </w:p>
        </w:tc>
      </w:tr>
    </w:tbl>
    <w:p w14:paraId="10EC553E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</w:p>
    <w:p w14:paraId="613C2041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bookmarkStart w:id="25" w:name="_Toc6022"/>
      <w:r>
        <w:rPr>
          <w:rFonts w:ascii="Calibri" w:hAnsi="Calibri" w:eastAsia="宋体"/>
          <w:b/>
          <w:color w:val="000000"/>
          <w:sz w:val="24"/>
        </w:rPr>
        <w:t>参考依据</w:t>
      </w:r>
      <w:bookmarkEnd w:id="25"/>
    </w:p>
    <w:p w14:paraId="19C899FC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>《数据挖掘实验指导书（学生用）》第 4–6 页的实验一内容，以及第 18 页的报告模板。数据使用 sklearn.datasets.load_wine 加载。图表和数值来自本次 Notebook 保存输出，补充统计由同一计算过程实际导出。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A1F034"/>
    <w:multiLevelType w:val="multilevel"/>
    <w:tmpl w:val="C4A1F034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484CDFB"/>
    <w:multiLevelType w:val="multilevel"/>
    <w:tmpl w:val="D484CDFB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">
    <w:nsid w:val="156E2156"/>
    <w:multiLevelType w:val="singleLevel"/>
    <w:tmpl w:val="156E21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28C"/>
    <w:rsid w:val="00294D8B"/>
    <w:rsid w:val="00491F63"/>
    <w:rsid w:val="004F6770"/>
    <w:rsid w:val="008C528C"/>
    <w:rsid w:val="00B1422C"/>
    <w:rsid w:val="00E50AF9"/>
    <w:rsid w:val="00E73CAA"/>
    <w:rsid w:val="16A31316"/>
    <w:rsid w:val="2A0D0566"/>
    <w:rsid w:val="323B293A"/>
    <w:rsid w:val="4EAC30D8"/>
    <w:rsid w:val="6FE916BE"/>
    <w:rsid w:val="79703C52"/>
    <w:rsid w:val="7B79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2">
    <w:name w:val="toc 1"/>
    <w:basedOn w:val="1"/>
    <w:next w:val="1"/>
    <w:semiHidden/>
    <w:unhideWhenUsed/>
    <w:uiPriority w:val="39"/>
    <w:rPr>
      <w:rFonts w:asciiTheme="minorAscii" w:hAnsiTheme="minorAscii"/>
      <w:sz w:val="24"/>
    </w:rPr>
  </w:style>
  <w:style w:type="paragraph" w:styleId="13">
    <w:name w:val="toc 2"/>
    <w:basedOn w:val="1"/>
    <w:next w:val="1"/>
    <w:semiHidden/>
    <w:unhideWhenUsed/>
    <w:uiPriority w:val="39"/>
    <w:pPr>
      <w:ind w:left="420" w:leftChars="200"/>
    </w:pPr>
  </w:style>
  <w:style w:type="character" w:styleId="16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3" Type="http://schemas.openxmlformats.org/officeDocument/2006/relationships/hyperlink" Target="https://github.com/lhe-xi/data-mining-lab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987</Words>
  <Characters>1152</Characters>
  <Lines>1</Lines>
  <Paragraphs>1</Paragraphs>
  <TotalTime>17</TotalTime>
  <ScaleCrop>false</ScaleCrop>
  <LinksUpToDate>false</LinksUpToDate>
  <CharactersWithSpaces>1199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2023-04-02T16:40:00Z</dcterms:created>
  <dc:creator>錦行 劉</dc:creator>
  <cp:lastModifiedBy>西.</cp:lastModifiedBy>
  <dcterms:modified xsi:type="dcterms:W3CDTF">2026-10-20T02:00:44Z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eyJoZGlkIjoiZDRjYTljOWQ3NTYxZTUxZWRjODdmMWM3ZjY1YjVjNmYiLCJ1c2VySWQiOiI5NTk2NDg3OTAifQ==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792BA9A815BB48A88023C1F401C50556_12</vt:lpwstr>
  </property>
</Properties>
</file>