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jc w:val="left"/>
      </w:pPr>
      <w:r>
        <w:rPr>
          <w:b/>
          <w:color w:val="000000"/>
          <w:sz w:val="28"/>
        </w:rPr>
        <w:t>Proibição da Reavaliação de Ativos, Carga Tributária e Ilusão de Dividend Yield na B3: Uma Análise Empírica em Empresas de Capital Intensivo (2016–2025)</w:t>
      </w:r>
    </w:p>
    <w:p>
      <w:pPr>
        <w:spacing w:line="276" w:lineRule="auto" w:after="80"/>
        <w:jc w:val="left"/>
      </w:pPr>
      <w:r>
        <w:rPr>
          <w:b/>
          <w:sz w:val="22"/>
        </w:rPr>
        <w:t>Luiz Ernesto Campos Hemerly¹*; Marcel Jaroski Barbosa²</w:t>
      </w:r>
    </w:p>
    <w:p>
      <w:pPr>
        <w:spacing w:line="240" w:lineRule="auto" w:after="40"/>
      </w:pPr>
      <w:r>
        <w:rPr>
          <w:i/>
          <w:sz w:val="20"/>
        </w:rPr>
        <w:t>1* Especialista em Finanças e Controladoria. Keeta. E-mail autor correspondente: lhemerly@gmail.com</w:t>
      </w:r>
    </w:p>
    <w:p>
      <w:pPr>
        <w:spacing w:line="240" w:lineRule="auto" w:after="280"/>
      </w:pPr>
      <w:r>
        <w:rPr>
          <w:i/>
          <w:sz w:val="20"/>
        </w:rPr>
        <w:t>2 Professor Doutor. Orientador. MBA USP/Esalq. E-mail: marcel.barbosa@usp.br</w:t>
      </w:r>
    </w:p>
    <w:p>
      <w:pPr>
        <w:spacing w:line="276" w:lineRule="auto" w:after="160"/>
        <w:jc w:val="left"/>
      </w:pPr>
      <w:r>
        <w:rPr>
          <w:b/>
          <w:sz w:val="24"/>
        </w:rPr>
        <w:t>Proibição da Reavaliação de Ativos, Carga Tributária e Ilusão de Dividend Yield na B3</w:t>
      </w:r>
    </w:p>
    <w:p>
      <w:pPr>
        <w:spacing w:line="240" w:lineRule="auto" w:after="120"/>
        <w:jc w:val="both"/>
      </w:pPr>
      <w:r>
        <w:rPr>
          <w:b/>
        </w:rPr>
        <w:t xml:space="preserve">Resumo: </w:t>
      </w:r>
      <w:r>
        <w:t>A convergência contábil brasileira ao IFRS (Lei nº 11.638/2007 e Pronunciamento Técnico CPC 27) manteve a proibição expressa da reavaliação espontânea de ativos imobilizados a valor justo, perpetuando a mensuração a custo histórico após a extinção da correção monetária pela Lei nº 9.249/1995. Em setores intensivos em capital, essa assimetria defasa a despesa de depreciação contábil, inflando artificialmente os lucros reportados e gerando o fenômeno da 'ilusão de lucro'. O objetivo desta pesquisa consistiu em mensurar o impacto financeiro da proibição da reavaliação de ativos sobre o lucro econômico real, a carga tributária efetiva e o dividend yield de companhias abertas brasileiras de capital intensivo listadas na B3. A metodologia, de natureza quantitativa e aplicada, estruturou um pipeline computacional em Python (pacote cvm_imobilizado) que extraiu demonstrações financeiras da CVM (2016 a 2025, 80 observações empresa-ano) e séries temporais do INCC e IGP-M via API do Banco Central do Brasil. A partir da vida útil média e da idade média do parque fabril, estimou-se o valor de reposição e recalculou-se a depreciação econômica ajustada. Os resultados empíricos evidenciaram uma sobreavaliação média de 61,5% no lucro líquido contábil em relação ao lucro real, gerando uma drenagem média anual de R$ 25,6 bilhões em tributos (IRPJ e CSLL) sobre ganhos inflacionários puramente nominais e elevando a alíquota efetiva real para 67,8%. Constatou-se que parcela expressiva dos proventos pagos configurou descapitalização econômica involuntária e devolução de capital físico. Os testes estatísticos pareados t de Student e Wilcoxon confirmaram a rejeição da hipótese nula com significância estatística superior a 99% (p &lt; 0,0001). Concluiu-se que a manutenção do custo histórico distorce a apuração de resultados, mascara a perda de capacidade operacional da firma e induz os agentes de mercado a precificarem uma rentabilidade ilusória.</w:t>
      </w:r>
    </w:p>
    <w:p>
      <w:pPr>
        <w:spacing w:line="240" w:lineRule="auto" w:after="280"/>
        <w:jc w:val="left"/>
      </w:pPr>
      <w:r>
        <w:rPr>
          <w:b/>
        </w:rPr>
        <w:t xml:space="preserve">Palavras-chave: </w:t>
      </w:r>
      <w:r>
        <w:t>Depreciação contábil; Custo histórico; Correção monetária; Valor de reposição; Descapitalização da firma; Carga tributária efetiva.</w:t>
      </w:r>
    </w:p>
    <w:p>
      <w:pPr>
        <w:spacing w:line="276" w:lineRule="auto" w:after="160"/>
      </w:pPr>
      <w:r>
        <w:rPr>
          <w:b/>
          <w:sz w:val="24"/>
        </w:rPr>
        <w:t>Prohibition of Asset Revaluation, Tax Burden and Dividend Yield Illusion in B3</w:t>
      </w:r>
    </w:p>
    <w:p>
      <w:pPr>
        <w:spacing w:line="240" w:lineRule="auto" w:after="120"/>
        <w:jc w:val="both"/>
      </w:pPr>
      <w:r>
        <w:rPr>
          <w:b/>
        </w:rPr>
        <w:t xml:space="preserve">Abstract: </w:t>
      </w:r>
      <w:r>
        <w:t>Brazilian accounting convergence to IFRS (Law No. 11,638/2007 and Technical Pronouncement CPC 27) maintained an explicit prohibition on the voluntary revaluation of fixed assets at fair value, perpetuating historical cost measurement after the extinction of monetary correction by Law No. 9,249/1995. In capital-intensive industries, this regulatory asymmetry lags accounting depreciation expenses, artificially inflating reported profits and generating the 'profit illusion' phenomenon. This study aimed to quantify the financial impact of asset revaluation prohibition on real economic profit, effective tax burden, and dividend yield of capital-intensive Brazilian publicly traded companies listed on B3. The applied quantitative methodology implemented a modular Python computational pipeline (cvm_imobilizado package) that retrieved standardized financial statements from CVM (2016–2025, 80 firm-year observations) and monthly time series of INCC and IGP-M via the Central Bank of Brazil API. Based on average useful life and asset age, replacement values and adjusted economic depreciation were calculated. Empirical results revealed an average 61.5% overstatement in accounting profit compared to real economic profit, draining an annual average of BRL 25.6 billion in corporate taxes (IRPJ and CSLL) on purely nominal inflationary gains and elevating the real effective tax rate to 67.8%. Furthermore, a substantial portion of distributed dividends represented involuntary economic decapitalization and return of physical equity. Paired parametric (Student's t) and non-parametric (Wilcoxon) statistical tests confirmed the rejection of the null hypothesis at p &lt; 0.0001. It was concluded that historical cost measurement distorts financial reporting, masks operational capacity deterioration, and misleads market participants with illusory yields.</w:t>
      </w:r>
    </w:p>
    <w:p>
      <w:pPr>
        <w:spacing w:line="240" w:lineRule="auto" w:after="360"/>
        <w:jc w:val="left"/>
      </w:pPr>
      <w:r>
        <w:rPr>
          <w:b/>
        </w:rPr>
        <w:t xml:space="preserve">Keywords: </w:t>
      </w:r>
      <w:r>
        <w:t>Accounting depreciation; Historical cost; Monetary correction; Replacement cost; Corporate decapitalization; Effective tax burden.</w:t>
      </w:r>
    </w:p>
    <w:p>
      <w:pPr>
        <w:spacing w:before="320" w:after="160" w:line="276" w:lineRule="auto"/>
      </w:pPr>
      <w:r>
        <w:rPr>
          <w:b/>
          <w:color w:val="000000"/>
          <w:sz w:val="26"/>
        </w:rPr>
        <w:t>1. Introdução</w:t>
      </w:r>
    </w:p>
    <w:p>
      <w:pPr>
        <w:spacing w:line="360" w:lineRule="auto" w:after="120"/>
        <w:jc w:val="both"/>
      </w:pPr>
      <w:r>
        <w:t>A convergência da contabilidade brasileira aos padrões internacionais (International Financial Reporting Standards – IFRS), iniciada pela promulgação da Lei nº 11.638/2007 e consubstanciada pelos pronunciamentos técnicos emitidos pelo Comitê de Pronunciamentos Contábeis (CPC), representou um marco histórico de modernização na evidenciação, governança e comparabilidade das demonstrações financeiras das companhias abertas brasileiras (Iudícibus et al., 2018; Gelbcke et al., 2018). Não obstante os expressivos avanços em transparência societária, o arcabouço normativo nacional estabeleceu uma exceção regulatória de grande magnitude econômica em relação ao padrão contábil internacional original estabelecido pelo International Accounting Standards Board (IASB): a vedação expressa da reavaliação espontânea de ativos imobilizados a valor justo (fair value), conforme taxativamente disciplinado no Pronunciamento Técnico CPC 27 (CPC, 2009), divergindo frontalmente da faculdade concedida pela norma internacional IAS 16 (Property, Plant and Equipment).</w:t>
      </w:r>
    </w:p>
    <w:p>
      <w:pPr>
        <w:spacing w:line="360" w:lineRule="auto" w:after="120"/>
        <w:jc w:val="both"/>
      </w:pPr>
      <w:r>
        <w:t>Historicamente, a economia brasileira caracterizou-se pela convivência com severos ciclos de inflação crônica e expressiva volatilidade cambial. Para resguardar a integridade informacional dos balanços e neutralizar os efeitos da perda do poder aquisitivo da moeda sobre o patrimônio empresarial, a Lei das Sociedades por Ações (Lei nº 6.404/1976) instituiu originalmente o mecanismo da Correção Monetária de Balanços e autorizou a reavaliação de ativos. Entretanto, com a estabilização macroeconômica propiciada pelo Plano Real, a Lei nº 9.249/1995 extinguiu a correção monetária das demonstrações financeiras tanto para fins societários quanto para efeitos fiscais. Essa alteração legislativa gerou profundos descompassos na fidedignidade da mensuração patrimonial (Ambrozini, 2006; Salotti et al., 2006; Martins, 2018), uma vez que a inflação acumulada, ainda que em níveis moderados na comparação histórica, continua a erodir o poder de compra da moeda ao longo de horizontes temporais dilatados.</w:t>
      </w:r>
    </w:p>
    <w:p>
      <w:pPr>
        <w:spacing w:line="360" w:lineRule="auto" w:after="120"/>
        <w:jc w:val="both"/>
      </w:pPr>
      <w:r>
        <w:t>A consolidação da proibição da reavaliação espontânea de ativos pela Lei nº 11.638/2007 aprofundou criticamente essa defasagem estrutural. Ao impor a mensuração perpétua do ativo imobilizado ao seu custo histórico de aquisição deduzido da depreciação acumulada e de perdas por recuperabilidade, a norma contábil passa a ignorar a evolução dos preços relativos dos bens de capital ao longo de ciclos de operação extensos. Em setores caracterizados por elevada intensidade de capital (heavy assets) — tais como mineração, siderurgia, petróleo e gás, papel e celulose, geração e transmissão de energia elétrica e indústria petroquímica —, as plantas fabris e complexos industriais possuem vidas úteis econômicas que comumente oscilam entre 15 e 40 anos. Sob tais condições, a despesa periódica de depreciação contábil é calculada sobre bases monetárias pretéritas e defasadas, distanciando-se expressivamente do montante financeiro necessário para a reposição corrente da capacidade produtiva instalada (Assaf Neto, 2020; Marion, 2019; Martins, 2018).</w:t>
      </w:r>
    </w:p>
    <w:p>
      <w:pPr>
        <w:spacing w:line="360" w:lineRule="auto" w:after="120"/>
        <w:jc w:val="both"/>
      </w:pPr>
      <w:r>
        <w:t>Essa assimetria fundamental entre o custo histórico e o valor de reposição econômico engendra o fenômeno conceituado na literatura de teoria da contabilidade como 'ilusão de lucro' (Hendriksen &amp; Breda, 1999; Martins, 2018). Ao computar encargos de depreciação substancialmente subdimensionados, a Demonstração do Resultado do Exercício (DRE) apresenta um resultado contábil sobreavaliado por parcelas de ganhos meramente nominais. Essa superestimação dos resultados legais produz dois impactos financeiros imediatos e estruturalmente danosos à solvência das firmas: (i) a incidência de tributação direta (Imposto de Renda da Pessoa Jurídica – IRPJ e Contribuição Social sobre o Lucro Líquido – CSLL) sobre lucros inflacionários fictícios, acarretando uma drenagem de liquidez pela via fiscal; e (ii) a distribuição compulsória de dividendos estatutários calculados com base em um lucro nominal que não reflete a geração de lucro econômico real, gerando a descapitalização econômica involuntária da entidade (Assaf Neto, 2020; Ambrozini, 2006).</w:t>
      </w:r>
    </w:p>
    <w:p>
      <w:pPr>
        <w:spacing w:line="360" w:lineRule="auto" w:after="120"/>
        <w:jc w:val="both"/>
      </w:pPr>
      <w:r>
        <w:t>A problemática central desta investigação reside na constatação de que, sob o regime do custo histórico, o fluxo financeiro de caixa gerado pela operação é drenado simultaneamente pelo Fisco e pelos acionistas antes que a companhia consiga reter a liquidez indispensável para o investimento em manutenção e reposição de sua infraestrutura física (Capex de manutenção). No mercado de capitais, analistas financeiros, agências de classificação de risco e investidores são induzidos a precificar múltiplos de rentabilidade (ROE, ROIC) e dividend yields atrativos que, em essência econômica, representam a liquidação progressiva e a devolução não intencional de capital físico aos acionistas.</w:t>
      </w:r>
    </w:p>
    <w:p>
      <w:pPr>
        <w:spacing w:line="360" w:lineRule="auto" w:after="80"/>
        <w:jc w:val="both"/>
      </w:pPr>
      <w:r>
        <w:t>Diante desse quadro de assimetria contábil e econômica, formula-se o seguinte problema de pesquisa: Qual é a magnitude do impacto financeiro da proibição da reavaliação de ativos imobilizados sobre o Lucro Líquido Real, a Carga Tributária Efetiva e o Dividend Yield de companhias abertas brasileiras de capital intensivo listadas na B3? Para orientar a condução da investigação, estabelecem-se as seguintes hipóteses centrais de pesquisa:</w:t>
      </w:r>
    </w:p>
    <w:p>
      <w:pPr>
        <w:spacing w:line="360" w:lineRule="auto" w:after="80"/>
        <w:jc w:val="both"/>
      </w:pPr>
      <w:r>
        <w:rPr>
          <w:b/>
        </w:rPr>
        <w:t xml:space="preserve">Hipótese 1 (H1) — Ilusão de Lucro Contábil: </w:t>
      </w:r>
      <w:r>
        <w:t>A despesa contábil de depreciação mensurada ao custo histórico subavalia significativamente o custo corrente de reposição dos ativos imobilizados, resultando em uma sobreavaliação estatisticamente significante do Lucro Líquido Contábil reportado em relação ao Lucro Econômico Real apurado a valor de reposição.</w:t>
      </w:r>
    </w:p>
    <w:p>
      <w:pPr>
        <w:spacing w:line="360" w:lineRule="auto" w:after="80"/>
        <w:jc w:val="both"/>
      </w:pPr>
      <w:r>
        <w:rPr>
          <w:b/>
        </w:rPr>
        <w:t xml:space="preserve">Hipótese 2 (H2) — Carga Tributária Efetiva Real Excedente: </w:t>
      </w:r>
      <w:r>
        <w:t>A vedação legal à dedutibilidade fiscal da depreciação a custo de reposição na apuração do Lucro Real gera tributação direta sobre ganhos inflacionários nominais, elevando a alíquota tributária efetiva real das companhias intensivas em capital para patamares estatisticamente superiores à alíquota nominal de 34%.</w:t>
      </w:r>
    </w:p>
    <w:p>
      <w:pPr>
        <w:spacing w:line="360" w:lineRule="auto" w:after="120"/>
        <w:jc w:val="both"/>
      </w:pPr>
      <w:r>
        <w:rPr>
          <w:b/>
        </w:rPr>
        <w:t xml:space="preserve">Hipótese 3 (H3) — Descapitalização Patrimonial por Distribuição de Proventos: </w:t>
      </w:r>
      <w:r>
        <w:t>A distribuição de dividendos e juros sobre capital próprio (JCP) calculada sobre a base de lucro contábil nominal excede o lucro econômico real gerado, caracterizando devolução involuntária de capital próprio, descapitalização da capacidade produtiva e sobrestimação do dividend yield sustentável.</w:t>
      </w:r>
    </w:p>
    <w:p>
      <w:pPr>
        <w:spacing w:line="360" w:lineRule="auto" w:after="120"/>
        <w:jc w:val="both"/>
      </w:pPr>
      <w:r>
        <w:t>No âmbito metodológico, adota-se o Índice Nacional de Custo da Construção (INCC/FGV) como a proxy principal e estrutural para reconstituição do valor de reposição dos complexos industriais e bens de capital. Complementarmente, o Índice Geral de Preços - Mercado (IGP-M/FGV) é empregado estritamente como teste de robustez econométrica e análise de sensibilidade temporal, avaliando a aderência do modelo diante de choques cambiais e variações de preços no atacado.</w:t>
      </w:r>
    </w:p>
    <w:p>
      <w:pPr>
        <w:spacing w:line="360" w:lineRule="auto" w:after="120"/>
        <w:jc w:val="both"/>
      </w:pPr>
      <w:r>
        <w:t>O objetivo geral deste estudo consiste em mensurar e analisar empiricamente o impacto financeiro da proibição da reavaliação de ativos imobilizados sobre o Lucro Líquido Real, a Carga Tributária Efetiva e o Dividend Yield de companhias abertas brasileiras de capital intensivo listadas na B3 no decênio de 2016 a 2025. Constituem objetivos específicos: (i) estruturar um pipeline computacional auditável para ingestão de dados da CVM e BACEN; (ii) estimar as vidas úteis médias, idades médias e fatores inflacionários acumulados do imobilizado; (iii) calcular os valores de reposição e as depreciações econômicas ajustadas; (iv) quantificar o volume financeiro do tributo inflacionário oculto e a alíquota efetiva real; (v) modelar a dinâmica intertemporal da drenagem de caixa sobre a necessidade de dívida para Capex e o custo de capital (WACC); e (vi) testar a significância estatística das distorções por meio de testes paramétricos e não paramétricos pareados.</w:t>
      </w:r>
    </w:p>
    <w:p>
      <w:pPr>
        <w:spacing w:before="320" w:after="160" w:line="276" w:lineRule="auto"/>
      </w:pPr>
      <w:r>
        <w:rPr>
          <w:b/>
          <w:color w:val="000000"/>
          <w:sz w:val="26"/>
        </w:rPr>
        <w:t>2. Metodologia ou Material e Métodos</w:t>
      </w:r>
    </w:p>
    <w:p>
      <w:pPr>
        <w:spacing w:before="240" w:after="80" w:line="276" w:lineRule="auto"/>
      </w:pPr>
      <w:r>
        <w:rPr>
          <w:b/>
          <w:color w:val="000000"/>
          <w:sz w:val="24"/>
        </w:rPr>
        <w:t>2.1 Delineamento da Pesquisa e Definição da Amostra</w:t>
      </w:r>
    </w:p>
    <w:p>
      <w:pPr>
        <w:spacing w:line="360" w:lineRule="auto" w:after="120"/>
        <w:jc w:val="both"/>
      </w:pPr>
      <w:r>
        <w:t>A presente investigação caracteriza-se como uma pesquisa aplicada, com objetivos descritivos e explicativos, estruturada sob uma abordagem quantitativa e delineamento documental ex-post facto. A população da pesquisa compreendeu as companhias abertas não financeiras registradas na Comissão de Valores Mobiliários (CVM) e com ações negociadas na B3 (Brasil, Bolsa, Balcão). Tendo em vista a necessidade de analisar ativos com expressiva representatividade no balanço e ciclo operacional de longa duração, utilizou-se amostragem não probabilística por tipicidade, selecionando empresas líderes em setores de capital intensivo (heavy assets). A amostra final foi composta por 8 corporações: Petróleo Brasileiro S.A. – Petrobras (Petróleo e Gás), Vale S.A. (Mineração), Centrais Elétricas Brasileiras S.A. – Eletrobras (Energia Elétrica), Suzano S.A. (Papel e Celulose), Gerdau S.A. (Siderurgia), Companhia Siderúrgica Nacional – CSN (Siderurgia), Klabin S.A. (Papel e Celulose) e Unigel Participações S.A. (Química e Petroquímica). O horizonte longitudinal cobriu uma janela de 10 exercícios sociais consecutivos (2016 a 2025), totalizando um painel balanceado de n = 80 observações empresa-ano.</w:t>
      </w:r>
    </w:p>
    <w:p>
      <w:pPr>
        <w:spacing w:before="240" w:after="80" w:line="276" w:lineRule="auto"/>
      </w:pPr>
      <w:r>
        <w:rPr>
          <w:b/>
          <w:color w:val="000000"/>
          <w:sz w:val="24"/>
        </w:rPr>
        <w:t>2.2 Ingestão Automatizada e Estruturação dos Dados Contábeis (CVM)</w:t>
      </w:r>
    </w:p>
    <w:p>
      <w:pPr>
        <w:spacing w:line="360" w:lineRule="auto" w:after="120"/>
        <w:jc w:val="both"/>
      </w:pPr>
      <w:r>
        <w:t>A coleta dos dados secundários contábeis foi realizada de forma direta e integral a partir do repositório público de Dados Abertos da CVM, englobando os relatórios anuais de Demonstrações Financeiras Padronizadas (DFP) consolidadas. Para assegurar total reprodutibilidade científica e integridade computacional, foi implementado o pacote modular em linguagem Python cvm_imobilizado, encarregado dos módulos de download, descompressão, parsing vetorial e validação estrutural dos dados contábeis. Do Balanço Patrimonial Ativo (BPA), extraíram-se as rubricas do Ativo Imobilizado Líquido (conta 1.02.03), Ativo Imobilizado Bruto, Obras e Construções em Andamento, Imobilizado Depreciável Bruto e Depreciação Acumulada. Da Demonstração do Resultado do Exercício (DRE), coletaram-se o Lucro Antes dos Tributos sobre o Lucro (EBT, conta 3.07), a Provisão para IRPJ e CSLL (conta 3.08) e o Lucro Líquido Consolidado (conta 3.11). Da Demonstração dos Fluxos de Caixa (DFC - Método Indireto), extraiu-se a Despesa Anual de Depreciação e Amortização operacionalmente incorrida. Nos exercícios em que a abertura analítica do imobilizado bruto não constava na taxonomia padronizada das DFPs, executou-se a conferência e conciliação manual das Notas Explicativas de Ativo Imobilizado das companhias.</w:t>
      </w:r>
    </w:p>
    <w:p>
      <w:pPr>
        <w:spacing w:before="240" w:after="80" w:line="276" w:lineRule="auto"/>
      </w:pPr>
      <w:r>
        <w:rPr>
          <w:b/>
          <w:color w:val="000000"/>
          <w:sz w:val="24"/>
        </w:rPr>
        <w:t>2.3 Obtenção das Séries Temporais de Índices de Preços e Justificativa do INCC</w:t>
      </w:r>
    </w:p>
    <w:p>
      <w:pPr>
        <w:spacing w:line="360" w:lineRule="auto" w:after="120"/>
        <w:jc w:val="both"/>
      </w:pPr>
      <w:r>
        <w:t>Para a reconstituição do valor corrente dos ativos fabris, integraram-se séries temporais de índices de preços apuradas pelo Instituto Brasileiro de Economia da Fundação Getulio Vargas (FGV/IBRE), coletadas por meio da API REST do Sistema Gerenciador de Séries Temporais (SGS) do Banco Central do Brasil. Coletaram-se as séries mensais do Índice Nacional de Custo da Construção (INCC, séries SGS 7447, 192 e 1276) e do Índice Geral de Preços - Mercado (IGP-M, séries SGS 189 e 274), estruturando um histórico mensal de 372 meses, de janeiro de 1995 a dezembro de 2025. A escolha prioritária do INCC como proxy estrutural fundamentou-se em sua composição estritamente voltada a insumos da engenharia pesada, estruturas metálicas, concreto, tubulações industriais e serviços de montagem eletromecânica, constituindo a métrica mais aderente ao custo de reposição de complexos industriais, além de apresentar menor suscetibilidade a choques cambiais especulativos em relação ao IGP-M.</w:t>
      </w:r>
    </w:p>
    <w:p>
      <w:pPr>
        <w:spacing w:before="240" w:after="80" w:line="276" w:lineRule="auto"/>
      </w:pPr>
      <w:r>
        <w:rPr>
          <w:b/>
          <w:color w:val="000000"/>
          <w:sz w:val="24"/>
        </w:rPr>
        <w:t>2.4 Modelagem Matemática e Algoritmo de Ajuste a Custo de Reposição</w:t>
      </w:r>
    </w:p>
    <w:p>
      <w:pPr>
        <w:spacing w:line="360" w:lineRule="auto" w:after="120"/>
        <w:jc w:val="both"/>
      </w:pPr>
      <w:r>
        <w:t>O modelo econométrico de reavaliação sintética do ativo imobilizado foi operacionalizado por meio de um algoritmo estruturado nas seguintes etapas matemáticas formais:</w:t>
      </w:r>
    </w:p>
    <w:p>
      <w:pPr>
        <w:spacing w:line="360" w:lineRule="auto" w:after="120"/>
        <w:jc w:val="both"/>
      </w:pPr>
      <w:r>
        <w:rPr>
          <w:b/>
        </w:rPr>
        <w:t xml:space="preserve">Etapa 1 — Taxa Implícita de Depreciação Contábil: </w:t>
      </w:r>
      <w:r>
        <w:t>Para cada companhia i no encerramento do exercício social t, apura-se a taxa implícita de depreciação contábil anual como a razão entre a Despesa Anual de Depreciação e o Imobilizado Depreciável Bruto, obtido pela dedução das obras e construções em andamento do imobilizado bruto total:</w:t>
      </w:r>
    </w:p>
    <w:p>
      <w:pPr>
        <w:spacing w:before="80" w:after="80" w:line="276" w:lineRule="auto"/>
        <w:jc w:val="center"/>
      </w:pPr>
      <m:oMathPara>
        <m:oMath>
          <m:sSub>
            <m:e>
              <m:r>
                <m:t>δ</m:t>
              </m:r>
            </m:e>
            <m:sub>
              <m:r>
                <m:t>i,t</m:t>
              </m:r>
            </m:sub>
          </m:sSub>
          <m:r>
            <m:t> = </m:t>
          </m:r>
          <m:f>
            <m:fPr>
              <m:type m:val="bar"/>
            </m:fPr>
            <m:num>
              <m:sSub>
                <m:e>
                  <m:r>
                    <m:t>Dep</m:t>
                  </m:r>
                </m:e>
                <m:sub>
                  <m:r>
                    <m:t>cont,i,t</m:t>
                  </m:r>
                </m:sub>
              </m:sSub>
            </m:num>
            <m:den>
              <m:sSub>
                <m:e>
                  <m:r>
                    <m:t>IDB</m:t>
                  </m:r>
                </m:e>
                <m:sub>
                  <m:r>
                    <m:t>i,t</m:t>
                  </m:r>
                </m:sub>
              </m:sSub>
            </m:den>
          </m:f>
          <m:r>
            <m:t> = </m:t>
          </m:r>
          <m:f>
            <m:fPr>
              <m:type m:val="bar"/>
            </m:fPr>
            <m:num>
              <m:sSub>
                <m:e>
                  <m:r>
                    <m:t>Dep</m:t>
                  </m:r>
                </m:e>
                <m:sub>
                  <m:r>
                    <m:t>cont,i,t</m:t>
                  </m:r>
                </m:sub>
              </m:sSub>
            </m:num>
            <m:den>
              <m:sSub>
                <m:e>
                  <m:r>
                    <m:t>IB</m:t>
                  </m:r>
                </m:e>
                <m:sub>
                  <m:r>
                    <m:t>i,t</m:t>
                  </m:r>
                </m:sub>
              </m:sSub>
              <m:r>
                <m:t> - </m:t>
              </m:r>
              <m:sSub>
                <m:e>
                  <m:r>
                    <m:t>Obras</m:t>
                  </m:r>
                </m:e>
                <m:sub>
                  <m:r>
                    <m:t>i,t</m:t>
                  </m:r>
                </m:sub>
              </m:sSub>
            </m:den>
          </m:f>
          <m:r>
            <m:t>          (1)</m:t>
          </m:r>
        </m:oMath>
      </m:oMathPara>
    </w:p>
    <w:p>
      <w:pPr>
        <w:spacing w:line="360" w:lineRule="auto" w:after="120"/>
        <w:jc w:val="both"/>
      </w:pPr>
      <w:r>
        <w:rPr>
          <w:b/>
        </w:rPr>
        <w:t xml:space="preserve">Etapa 2 — Vida Útil Média Estimada: </w:t>
      </w:r>
      <w:r>
        <w:t>A Vida Útil Média Estimada do parque operacional de ativos (expressa em anos) é obtida pelo inverso da taxa média implícita de depreciação contábil:</w:t>
      </w:r>
    </w:p>
    <w:p>
      <w:pPr>
        <w:spacing w:before="80" w:after="80" w:line="276" w:lineRule="auto"/>
        <w:jc w:val="center"/>
      </w:pPr>
      <m:oMathPara>
        <m:oMath>
          <m:bar>
            <m:barPr>
              <m:pos m:val="top"/>
            </m:barPr>
            <m:e>
              <m:r>
                <m:t>T</m:t>
              </m:r>
            </m:e>
          </m:bar>
          <m:r>
            <m:t>_</m:t>
          </m:r>
          <m:r>
            <m:t>i,t</m:t>
          </m:r>
          <m:r>
            <m:t> = </m:t>
          </m:r>
          <m:f>
            <m:fPr>
              <m:type m:val="bar"/>
            </m:fPr>
            <m:num>
              <m:r>
                <m:t>1</m:t>
              </m:r>
            </m:num>
            <m:den>
              <m:sSub>
                <m:e>
                  <m:r>
                    <m:t>δ</m:t>
                  </m:r>
                </m:e>
                <m:sub>
                  <m:r>
                    <m:t>i,t</m:t>
                  </m:r>
                </m:sub>
              </m:sSub>
            </m:den>
          </m:f>
          <m:r>
            <m:t> = </m:t>
          </m:r>
          <m:f>
            <m:fPr>
              <m:type m:val="bar"/>
            </m:fPr>
            <m:num>
              <m:sSub>
                <m:e>
                  <m:r>
                    <m:t>IDB</m:t>
                  </m:r>
                </m:e>
                <m:sub>
                  <m:r>
                    <m:t>i,t</m:t>
                  </m:r>
                </m:sub>
              </m:sSub>
            </m:num>
            <m:den>
              <m:sSub>
                <m:e>
                  <m:r>
                    <m:t>Dep</m:t>
                  </m:r>
                </m:e>
                <m:sub>
                  <m:r>
                    <m:t>cont,i,t</m:t>
                  </m:r>
                </m:sub>
              </m:sSub>
            </m:den>
          </m:f>
          <m:r>
            <m:t>          (2)</m:t>
          </m:r>
        </m:oMath>
      </m:oMathPara>
    </w:p>
    <w:p>
      <w:pPr>
        <w:spacing w:line="360" w:lineRule="auto" w:after="120"/>
        <w:jc w:val="both"/>
      </w:pPr>
      <w:r>
        <w:rPr>
          <w:b/>
        </w:rPr>
        <w:t xml:space="preserve">Etapa 3 — Idade Média Ponderada do Imobilizado: </w:t>
      </w:r>
      <w:r>
        <w:t>A Idade Média Ponderada dos ativos operacionais em funcionamento é estimada pela relação entre o saldo acumulado de depreciação e o fluxo anual de depreciação incorrida:</w:t>
      </w:r>
    </w:p>
    <w:p>
      <w:pPr>
        <w:spacing w:before="80" w:after="80" w:line="276" w:lineRule="auto"/>
        <w:jc w:val="center"/>
      </w:pPr>
      <m:oMathPara>
        <m:oMath>
          <m:bar>
            <m:barPr>
              <m:pos m:val="top"/>
            </m:barPr>
            <m:e>
              <m:r>
                <m:t>t</m:t>
              </m:r>
            </m:e>
          </m:bar>
          <m:r>
            <m:t>_</m:t>
          </m:r>
          <m:r>
            <m:t>i,t</m:t>
          </m:r>
          <m:r>
            <m:t> = </m:t>
          </m:r>
          <m:f>
            <m:fPr>
              <m:type m:val="bar"/>
            </m:fPr>
            <m:num>
              <m:sSub>
                <m:e>
                  <m:r>
                    <m:t>DA</m:t>
                  </m:r>
                </m:e>
                <m:sub>
                  <m:r>
                    <m:t>i,t</m:t>
                  </m:r>
                </m:sub>
              </m:sSub>
            </m:num>
            <m:den>
              <m:sSub>
                <m:e>
                  <m:r>
                    <m:t>Dep</m:t>
                  </m:r>
                </m:e>
                <m:sub>
                  <m:r>
                    <m:t>cont,i,t</m:t>
                  </m:r>
                </m:sub>
              </m:sSub>
            </m:den>
          </m:f>
          <m:r>
            <m:t>          (3)</m:t>
          </m:r>
        </m:oMath>
      </m:oMathPara>
    </w:p>
    <w:p>
      <w:pPr>
        <w:spacing w:line="360" w:lineRule="auto" w:after="120"/>
        <w:jc w:val="both"/>
      </w:pPr>
      <w:r>
        <w:rPr>
          <w:b/>
        </w:rPr>
        <w:t xml:space="preserve">Etapa 4 — Janela Retroativa e Fator de Acumulação Inflacionária: </w:t>
      </w:r>
      <w:r>
        <w:t>O número inteiro de meses retroativos necessários para recompor a data média histórica de instalação dos ativos e o Fator Inflacionário Acumulado são calculados por:</w:t>
      </w:r>
    </w:p>
    <w:p>
      <w:pPr>
        <w:spacing w:before="80" w:after="80" w:line="276" w:lineRule="auto"/>
        <w:jc w:val="center"/>
      </w:pPr>
      <m:oMathPara>
        <m:oMath>
          <m:sSub>
            <m:e>
              <m:r>
                <m:t>k</m:t>
              </m:r>
            </m:e>
            <m:sub>
              <m:r>
                <m:t>i,t</m:t>
              </m:r>
            </m:sub>
          </m:sSub>
          <m:r>
            <m:t> = round(</m:t>
          </m:r>
          <m:r>
            <m:t>12 × </m:t>
          </m:r>
          <m:bar>
            <m:barPr>
              <m:pos m:val="top"/>
            </m:barPr>
            <m:e>
              <m:r>
                <m:t>t</m:t>
              </m:r>
            </m:e>
          </m:bar>
          <m:r>
            <m:t>_i,t</m:t>
          </m:r>
          <m:r>
            <m:t>)</m:t>
          </m:r>
          <m:r>
            <m:t>          (4)</m:t>
          </m:r>
        </m:oMath>
      </m:oMathPara>
    </w:p>
    <w:p>
      <w:pPr>
        <w:spacing w:before="80" w:after="80" w:line="276" w:lineRule="auto"/>
        <w:jc w:val="center"/>
      </w:pPr>
      <m:oMathPara>
        <m:oMath>
          <m:sSub>
            <m:e>
              <m:r>
                <m:t>F</m:t>
              </m:r>
            </m:e>
            <m:sub>
              <m:r>
                <m:t>INCC</m:t>
              </m:r>
            </m:sub>
          </m:sSub>
          <m:r>
            <m:t>(i,t) = </m:t>
          </m:r>
          <m:f>
            <m:fPr>
              <m:type m:val="bar"/>
            </m:fPr>
            <m:num>
              <m:r>
                <m:t>I(t_0)</m:t>
              </m:r>
            </m:num>
            <m:den>
              <m:r>
                <m:t>I(t_0 - k_i,t)</m:t>
              </m:r>
            </m:den>
          </m:f>
          <m:r>
            <m:t> = </m:t>
          </m:r>
          <m:nary>
            <m:naryPr>
              <m:chr m:val="∏"/>
              <m:limLoc m:val="undOvr"/>
            </m:naryPr>
            <m:sub>
              <m:r>
                <m:t>m = t_0 - k_i,t + 1</m:t>
              </m:r>
            </m:sub>
            <m:sup>
              <m:r>
                <m:t>t_0</m:t>
              </m:r>
            </m:sup>
            <m:e>
              <m:r>
                <m:t>(1 + </m:t>
              </m:r>
              <m:f>
                <m:fPr>
                  <m:type m:val="bar"/>
                </m:fPr>
                <m:num>
                  <m:sSup>
                    <m:e>
                      <m:r>
                        <m:t>
                          <m:sSub>
                            <m:e>
                              <m:r>
                                <m:t>i</m:t>
                              </m:r>
                            </m:e>
                            <m:sub>
                              <m:r>
                                <m:t>m</m:t>
                              </m:r>
                            </m:sub>
                          </m:sSub>
                        </m:t>
                      </m:r>
                    </m:e>
                    <m:sup>
                      <m:r>
                        <m:t>INCC</m:t>
                      </m:r>
                    </m:sup>
                  </m:sSup>
                </m:num>
                <m:den>
                  <m:r>
                    <m:t>100</m:t>
                  </m:r>
                </m:den>
              </m:f>
              <m:r>
                <m:t>)</m:t>
              </m:r>
            </m:e>
          </m:nary>
          <m:r>
            <m:t>          (5)</m:t>
          </m:r>
        </m:oMath>
      </m:oMathPara>
    </w:p>
    <w:p>
      <w:pPr>
        <w:spacing w:line="360" w:lineRule="auto" w:after="120"/>
        <w:jc w:val="both"/>
      </w:pPr>
      <w:r>
        <w:rPr>
          <w:b/>
        </w:rPr>
        <w:t xml:space="preserve">Etapa 5 — Valores de Reposição Sintéticos (Fair Value Proxy): </w:t>
      </w:r>
      <w:r>
        <w:t>Aplicando o fator acumulado sobre os saldos contábeis históricos, apuram-se o Valor de Reposição Bruto Total e o Valor de Reposição da Base Depreciável:</w:t>
      </w:r>
    </w:p>
    <w:p>
      <w:pPr>
        <w:spacing w:before="80" w:after="80" w:line="276" w:lineRule="auto"/>
        <w:jc w:val="center"/>
      </w:pPr>
      <m:oMathPara>
        <m:oMath>
          <m:sSub>
            <m:e>
              <m:r>
                <m:t>VRB</m:t>
              </m:r>
            </m:e>
            <m:sub>
              <m:r>
                <m:t>i,t</m:t>
              </m:r>
            </m:sub>
          </m:sSub>
          <m:r>
            <m:t> = </m:t>
          </m:r>
          <m:sSub>
            <m:e>
              <m:r>
                <m:t>IB</m:t>
              </m:r>
            </m:e>
            <m:sub>
              <m:r>
                <m:t>i,t</m:t>
              </m:r>
            </m:sub>
          </m:sSub>
          <m:r>
            <m:t> × </m:t>
          </m:r>
          <m:sSub>
            <m:e>
              <m:r>
                <m:t>F</m:t>
              </m:r>
            </m:e>
            <m:sub>
              <m:r>
                <m:t>INCC</m:t>
              </m:r>
            </m:sub>
          </m:sSub>
          <m:r>
            <m:t>(i,t),        </m:t>
          </m:r>
          <m:sSub>
            <m:e>
              <m:r>
                <m:t>VRD</m:t>
              </m:r>
            </m:e>
            <m:sub>
              <m:r>
                <m:t>i,t</m:t>
              </m:r>
            </m:sub>
          </m:sSub>
          <m:r>
            <m:t> = </m:t>
          </m:r>
          <m:sSub>
            <m:e>
              <m:r>
                <m:t>IDB</m:t>
              </m:r>
            </m:e>
            <m:sub>
              <m:r>
                <m:t>i,t</m:t>
              </m:r>
            </m:sub>
          </m:sSub>
          <m:r>
            <m:t> × </m:t>
          </m:r>
          <m:sSub>
            <m:e>
              <m:r>
                <m:t>F</m:t>
              </m:r>
            </m:e>
            <m:sub>
              <m:r>
                <m:t>INCC</m:t>
              </m:r>
            </m:sub>
          </m:sSub>
          <m:r>
            <m:t>(i,t)</m:t>
          </m:r>
          <m:r>
            <m:t>          (6)</m:t>
          </m:r>
        </m:oMath>
      </m:oMathPara>
    </w:p>
    <w:p>
      <w:pPr>
        <w:spacing w:line="360" w:lineRule="auto" w:after="120"/>
        <w:jc w:val="both"/>
      </w:pPr>
      <w:r>
        <w:rPr>
          <w:b/>
        </w:rPr>
        <w:t xml:space="preserve">Etapa 6 — Depreciação Econômica Ajustada e Erosão do Capital: </w:t>
      </w:r>
      <w:r>
        <w:t>A Despesa de Depreciação Econômica Ajustada a Custo de Reposição e o Déficit Anual de Reposição (Erosão do Capital Físico) são calculados da seguinte forma:</w:t>
      </w:r>
    </w:p>
    <w:p>
      <w:pPr>
        <w:spacing w:before="80" w:after="80" w:line="276" w:lineRule="auto"/>
        <w:jc w:val="center"/>
      </w:pPr>
      <m:oMathPara>
        <m:oMath>
          <m:sSub>
            <m:e>
              <m:r>
                <m:t>Dep</m:t>
              </m:r>
            </m:e>
            <m:sub>
              <m:r>
                <m:t>real,i,t</m:t>
              </m:r>
            </m:sub>
          </m:sSub>
          <m:r>
            <m:t> = </m:t>
          </m:r>
          <m:f>
            <m:fPr>
              <m:type m:val="bar"/>
            </m:fPr>
            <m:num>
              <m:sSub>
                <m:e>
                  <m:r>
                    <m:t>VRD</m:t>
                  </m:r>
                </m:e>
                <m:sub>
                  <m:r>
                    <m:t>i,t</m:t>
                  </m:r>
                </m:sub>
              </m:sSub>
            </m:num>
            <m:den>
              <m:bar>
                <m:barPr>
                  <m:pos m:val="top"/>
                </m:barPr>
                <m:e>
                  <m:r>
                    <m:t>T</m:t>
                  </m:r>
                </m:e>
              </m:bar>
              <m:r>
                <m:t>_i,t</m:t>
              </m:r>
            </m:den>
          </m:f>
          <m:r>
            <m:t> = </m:t>
          </m:r>
          <m:sSub>
            <m:e>
              <m:r>
                <m:t>Dep</m:t>
              </m:r>
            </m:e>
            <m:sub>
              <m:r>
                <m:t>cont,i,t</m:t>
              </m:r>
            </m:sub>
          </m:sSub>
          <m:r>
            <m:t> × </m:t>
          </m:r>
          <m:sSub>
            <m:e>
              <m:r>
                <m:t>F</m:t>
              </m:r>
            </m:e>
            <m:sub>
              <m:r>
                <m:t>INCC</m:t>
              </m:r>
            </m:sub>
          </m:sSub>
          <m:r>
            <m:t>(i,t)</m:t>
          </m:r>
          <m:r>
            <m:t>          (7)</m:t>
          </m:r>
        </m:oMath>
      </m:oMathPara>
    </w:p>
    <w:p>
      <w:pPr>
        <w:spacing w:before="80" w:after="80" w:line="276" w:lineRule="auto"/>
        <w:jc w:val="center"/>
      </w:pPr>
      <m:oMathPara>
        <m:oMath>
          <m:sSub>
            <m:e>
              <m:r>
                <m:t>ΔDep</m:t>
              </m:r>
            </m:e>
            <m:sub>
              <m:r>
                <m:t>i,t</m:t>
              </m:r>
            </m:sub>
          </m:sSub>
          <m:r>
            <m:t> = </m:t>
          </m:r>
          <m:sSub>
            <m:e>
              <m:r>
                <m:t>Dep</m:t>
              </m:r>
            </m:e>
            <m:sub>
              <m:r>
                <m:t>real,i,t</m:t>
              </m:r>
            </m:sub>
          </m:sSub>
          <m:r>
            <m:t> - </m:t>
          </m:r>
          <m:sSub>
            <m:e>
              <m:r>
                <m:t>Dep</m:t>
              </m:r>
            </m:e>
            <m:sub>
              <m:r>
                <m:t>cont,i,t</m:t>
              </m:r>
            </m:sub>
          </m:sSub>
          <m:r>
            <m:t> = </m:t>
          </m:r>
          <m:sSub>
            <m:e>
              <m:r>
                <m:t>Dep</m:t>
              </m:r>
            </m:e>
            <m:sub>
              <m:r>
                <m:t>cont,i,t</m:t>
              </m:r>
            </m:sub>
          </m:sSub>
          <m:r>
            <m:t> × [</m:t>
          </m:r>
          <m:sSub>
            <m:e>
              <m:r>
                <m:t>F</m:t>
              </m:r>
            </m:e>
            <m:sub>
              <m:r>
                <m:t>INCC</m:t>
              </m:r>
            </m:sub>
          </m:sSub>
          <m:r>
            <m:t>(i,t) - 1]</m:t>
          </m:r>
          <m:r>
            <m:t>          (8)</m:t>
          </m:r>
        </m:oMath>
      </m:oMathPara>
    </w:p>
    <w:p>
      <w:pPr>
        <w:spacing w:line="360" w:lineRule="auto" w:after="120"/>
        <w:jc w:val="both"/>
      </w:pPr>
      <w:r>
        <w:rPr>
          <w:b/>
        </w:rPr>
        <w:t xml:space="preserve">Etapa 7 — Ajuste da DRE, Tributo Oculto e Alíquota Efetiva Real: </w:t>
      </w:r>
      <w:r>
        <w:t>Dedução da depreciação econômica na DRE, apuração do tributo sobre ganho puramente inflacionário e cálculo da alíquota efetiva real:</w:t>
      </w:r>
    </w:p>
    <w:p>
      <w:pPr>
        <w:spacing w:before="80" w:after="80" w:line="276" w:lineRule="auto"/>
        <w:jc w:val="center"/>
      </w:pPr>
      <m:oMathPara>
        <m:oMath>
          <m:sSub>
            <m:e>
              <m:r>
                <m:t>EBT</m:t>
              </m:r>
            </m:e>
            <m:sub>
              <m:r>
                <m:t>real,i,t</m:t>
              </m:r>
            </m:sub>
          </m:sSub>
          <m:r>
            <m:t> = </m:t>
          </m:r>
          <m:sSub>
            <m:e>
              <m:r>
                <m:t>EBT</m:t>
              </m:r>
            </m:e>
            <m:sub>
              <m:r>
                <m:t>cont,i,t</m:t>
              </m:r>
            </m:sub>
          </m:sSub>
          <m:r>
            <m:t> - </m:t>
          </m:r>
          <m:sSub>
            <m:e>
              <m:r>
                <m:t>ΔDep</m:t>
              </m:r>
            </m:e>
            <m:sub>
              <m:r>
                <m:t>i,t</m:t>
              </m:r>
            </m:sub>
          </m:sSub>
          <m:r>
            <m:t>,        </m:t>
          </m:r>
          <m:sSub>
            <m:e>
              <m:r>
                <m:t>LL</m:t>
              </m:r>
            </m:e>
            <m:sub>
              <m:r>
                <m:t>real,i,t</m:t>
              </m:r>
            </m:sub>
          </m:sSub>
          <m:r>
            <m:t> = </m:t>
          </m:r>
          <m:sSub>
            <m:e>
              <m:r>
                <m:t>LL</m:t>
              </m:r>
            </m:e>
            <m:sub>
              <m:r>
                <m:t>cont,i,t</m:t>
              </m:r>
            </m:sub>
          </m:sSub>
          <m:r>
            <m:t> - </m:t>
          </m:r>
          <m:sSub>
            <m:e>
              <m:r>
                <m:t>ΔDep</m:t>
              </m:r>
            </m:e>
            <m:sub>
              <m:r>
                <m:t>i,t</m:t>
              </m:r>
            </m:sub>
          </m:sSub>
          <m:r>
            <m:t>          (9)</m:t>
          </m:r>
        </m:oMath>
      </m:oMathPara>
    </w:p>
    <w:p>
      <w:pPr>
        <w:spacing w:before="80" w:after="80" w:line="276" w:lineRule="auto"/>
        <w:jc w:val="center"/>
      </w:pPr>
      <m:oMathPara>
        <m:oMath>
          <m:sSub>
            <m:e>
              <m:r>
                <m:t>Tributo</m:t>
              </m:r>
            </m:e>
            <m:sub>
              <m:r>
                <m:t>oculto,i,t</m:t>
              </m:r>
            </m:sub>
          </m:sSub>
          <m:r>
            <m:t> = </m:t>
          </m:r>
          <m:sSub>
            <m:e>
              <m:r>
                <m:t>ΔDep</m:t>
              </m:r>
            </m:e>
            <m:sub>
              <m:r>
                <m:t>i,t</m:t>
              </m:r>
            </m:sub>
          </m:sSub>
          <m:r>
            <m:t> × </m:t>
          </m:r>
          <m:sSub>
            <m:e>
              <m:r>
                <m:t>τ</m:t>
              </m:r>
            </m:e>
            <m:sub>
              <m:r>
                <m:t>nominal</m:t>
              </m:r>
            </m:sub>
          </m:sSub>
          <m:r>
            <m:t> = </m:t>
          </m:r>
          <m:sSub>
            <m:e>
              <m:r>
                <m:t>ΔDep</m:t>
              </m:r>
            </m:e>
            <m:sub>
              <m:r>
                <m:t>i,t</m:t>
              </m:r>
            </m:sub>
          </m:sSub>
          <m:r>
            <m:t> × 0,34</m:t>
          </m:r>
          <m:r>
            <m:t>          (10)</m:t>
          </m:r>
        </m:oMath>
      </m:oMathPara>
    </w:p>
    <w:p>
      <w:pPr>
        <w:spacing w:before="80" w:after="80" w:line="276" w:lineRule="auto"/>
        <w:jc w:val="center"/>
      </w:pPr>
      <m:oMathPara>
        <m:oMath>
          <m:sSub>
            <m:e>
              <m:r>
                <m:t>τ</m:t>
              </m:r>
            </m:e>
            <m:sub>
              <m:r>
                <m:t>efetiva_real,i,t</m:t>
              </m:r>
            </m:sub>
          </m:sSub>
          <m:r>
            <m:t> = </m:t>
          </m:r>
          <m:f>
            <m:fPr>
              <m:type m:val="bar"/>
            </m:fPr>
            <m:num>
              <m:sSub>
                <m:e>
                  <m:r>
                    <m:t>Provisão_IR_CSLL</m:t>
                  </m:r>
                </m:e>
                <m:sub>
                  <m:r>
                    <m:t>cont,i,t</m:t>
                  </m:r>
                </m:sub>
              </m:sSub>
            </m:num>
            <m:den>
              <m:sSub>
                <m:e>
                  <m:r>
                    <m:t>EBT</m:t>
                  </m:r>
                </m:e>
                <m:sub>
                  <m:r>
                    <m:t>real,i,t</m:t>
                  </m:r>
                </m:sub>
              </m:sSub>
            </m:den>
          </m:f>
          <m:r>
            <m:t> = </m:t>
          </m:r>
          <m:f>
            <m:fPr>
              <m:type m:val="bar"/>
            </m:fPr>
            <m:num>
              <m:r>
                <m:t>0,34 × </m:t>
              </m:r>
              <m:sSub>
                <m:e>
                  <m:r>
                    <m:t>EBT</m:t>
                  </m:r>
                </m:e>
                <m:sub>
                  <m:r>
                    <m:t>cont,i,t</m:t>
                  </m:r>
                </m:sub>
              </m:sSub>
            </m:num>
            <m:den>
              <m:sSub>
                <m:e>
                  <m:r>
                    <m:t>EBT</m:t>
                  </m:r>
                </m:e>
                <m:sub>
                  <m:r>
                    <m:t>cont,i,t</m:t>
                  </m:r>
                </m:sub>
              </m:sSub>
              <m:r>
                <m:t> - </m:t>
              </m:r>
              <m:sSub>
                <m:e>
                  <m:r>
                    <m:t>ΔDep</m:t>
                  </m:r>
                </m:e>
                <m:sub>
                  <m:r>
                    <m:t>i,t</m:t>
                  </m:r>
                </m:sub>
              </m:sSub>
            </m:den>
          </m:f>
          <m:r>
            <m:t>          (11)</m:t>
          </m:r>
        </m:oMath>
      </m:oMathPara>
    </w:p>
    <w:p>
      <w:pPr>
        <w:spacing w:line="360" w:lineRule="auto" w:after="120"/>
        <w:jc w:val="both"/>
      </w:pPr>
      <w:r>
        <w:rPr>
          <w:b/>
        </w:rPr>
        <w:t xml:space="preserve">Etapa 8 — Reavaliação de Proventos e Descapitalização Acionária: </w:t>
      </w:r>
      <w:r>
        <w:t>Segregação dos proventos distribuídos entre dividendos respaldados por lucro econômico real e parcela correspondente à descapitalização patrimonial involuntária:</w:t>
      </w:r>
    </w:p>
    <w:p>
      <w:pPr>
        <w:spacing w:before="80" w:after="80" w:line="276" w:lineRule="auto"/>
        <w:jc w:val="center"/>
      </w:pPr>
      <m:oMathPara>
        <m:oMath>
          <m:sSub>
            <m:e>
              <m:r>
                <m:t>Div</m:t>
              </m:r>
            </m:e>
            <m:sub>
              <m:r>
                <m:t>real,i,t</m:t>
              </m:r>
            </m:sub>
          </m:sSub>
          <m:r>
            <m:t> = </m:t>
          </m:r>
          <m:sSub>
            <m:e>
              <m:r>
                <m:t>Div</m:t>
              </m:r>
            </m:e>
            <m:sub>
              <m:r>
                <m:t>pagos,i,t</m:t>
              </m:r>
            </m:sub>
          </m:sSub>
          <m:r>
            <m:t> × max(0, min(1, </m:t>
          </m:r>
          <m:f>
            <m:fPr>
              <m:type m:val="bar"/>
            </m:fPr>
            <m:num>
              <m:sSub>
                <m:e>
                  <m:r>
                    <m:t>LL</m:t>
                  </m:r>
                </m:e>
                <m:sub>
                  <m:r>
                    <m:t>real,i,t</m:t>
                  </m:r>
                </m:sub>
              </m:sSub>
            </m:num>
            <m:den>
              <m:sSub>
                <m:e>
                  <m:r>
                    <m:t>LL</m:t>
                  </m:r>
                </m:e>
                <m:sub>
                  <m:r>
                    <m:t>cont,i,t</m:t>
                  </m:r>
                </m:sub>
              </m:sSub>
            </m:den>
          </m:f>
          <m:r>
            <m:t>)),        </m:t>
          </m:r>
          <m:sSub>
            <m:e>
              <m:r>
                <m:t>Descap</m:t>
              </m:r>
            </m:e>
            <m:sub>
              <m:r>
                <m:t>acionistas,i,t</m:t>
              </m:r>
            </m:sub>
          </m:sSub>
          <m:r>
            <m:t> = </m:t>
          </m:r>
          <m:sSub>
            <m:e>
              <m:r>
                <m:t>Div</m:t>
              </m:r>
            </m:e>
            <m:sub>
              <m:r>
                <m:t>pagos,i,t</m:t>
              </m:r>
            </m:sub>
          </m:sSub>
          <m:r>
            <m:t> - </m:t>
          </m:r>
          <m:sSub>
            <m:e>
              <m:r>
                <m:t>Div</m:t>
              </m:r>
            </m:e>
            <m:sub>
              <m:r>
                <m:t>real,i,t</m:t>
              </m:r>
            </m:sub>
          </m:sSub>
          <m:r>
            <m:t>          (12)</m:t>
          </m:r>
        </m:oMath>
      </m:oMathPara>
    </w:p>
    <w:p>
      <w:pPr>
        <w:spacing w:before="240" w:after="80" w:line="276" w:lineRule="auto"/>
      </w:pPr>
      <w:r>
        <w:rPr>
          <w:b/>
          <w:color w:val="000000"/>
          <w:sz w:val="24"/>
        </w:rPr>
        <w:t>2.5 Procedimentos Estatísticos Paramétricos e Não Paramétricos</w:t>
      </w:r>
    </w:p>
    <w:p>
      <w:pPr>
        <w:spacing w:line="360" w:lineRule="auto" w:after="80"/>
        <w:jc w:val="both"/>
      </w:pPr>
      <w:r>
        <w:t>Para avaliar o rigor e a significância estatística das diferenças observadas entre as variáveis contábeis oficiais e as variáveis ajustadas a valor de reposição, foram executados testes de hipóteses bicaudais para amostras pareadas. Inicialmente, empregou-se o teste paramétrico t de Student para médias pareadas, cuja estatística de teste e graus de liberdade são definidos por:</w:t>
      </w:r>
    </w:p>
    <w:p>
      <w:pPr>
        <w:spacing w:before="80" w:after="80" w:line="276" w:lineRule="auto"/>
        <w:jc w:val="center"/>
      </w:pPr>
      <m:oMathPara>
        <m:oMath>
          <m:r>
            <m:t>t = </m:t>
          </m:r>
          <m:f>
            <m:fPr>
              <m:type m:val="bar"/>
            </m:fPr>
            <m:num>
              <m:bar>
                <m:barPr>
                  <m:pos m:val="top"/>
                </m:barPr>
                <m:e>
                  <m:r>
                    <m:t>d</m:t>
                  </m:r>
                </m:e>
              </m:bar>
            </m:num>
            <m:den>
              <m:f>
                <m:fPr>
                  <m:type m:val="bar"/>
                </m:fPr>
                <m:num>
                  <m:sSub>
                    <m:e>
                      <m:r>
                        <m:t>s</m:t>
                      </m:r>
                    </m:e>
                    <m:sub>
                      <m:r>
                        <m:t>d</m:t>
                      </m:r>
                    </m:sub>
                  </m:sSub>
                </m:num>
                <m:den>
                  <m:rad>
                    <m:radPr>
                      <m:degHide m:val="1"/>
                    </m:radPr>
                    <m:deg/>
                    <m:e>
                      <m:r>
                        <m:t>n</m:t>
                      </m:r>
                    </m:e>
                  </m:rad>
                </m:den>
              </m:f>
            </m:den>
          </m:f>
          <m:r>
            <m:t>,          gl = n - 1 = 80 - 1 = 79</m:t>
          </m:r>
          <m:r>
            <m:t>          (13)</m:t>
          </m:r>
        </m:oMath>
      </m:oMathPara>
    </w:p>
    <w:p>
      <w:pPr>
        <w:spacing w:line="360" w:lineRule="auto" w:after="80"/>
        <w:jc w:val="both"/>
      </w:pPr>
      <w:r>
        <w:t>em que d_barra representa a média das diferenças pareadas, s_d é o desvio padrão amostral das diferenças e n é o número total de observações empresa-ano (n = 80). Diante de potenciais desvios de normalidade nas distribuições de lucros e taxas efetivas em períodos de choques setoriais (avaliados via teste de Shapiro-Wilk), aplicou-se simultaneamente o teste não paramétrico de postos com sinais de Wilcoxon (Wilcoxon Signed-Rank Test), cuja estatística W e aproximação assintótica padronizada z_W são dadas por:</w:t>
      </w:r>
    </w:p>
    <w:p>
      <w:pPr>
        <w:spacing w:before="80" w:after="80" w:line="276" w:lineRule="auto"/>
        <w:jc w:val="center"/>
      </w:pPr>
      <m:oMathPara>
        <m:oMath>
          <m:r>
            <m:t>W = min(W^+, W^-),          </m:t>
          </m:r>
          <m:sSub>
            <m:e>
              <m:r>
                <m:t>z</m:t>
              </m:r>
            </m:e>
            <m:sub>
              <m:r>
                <m:t>W</m:t>
              </m:r>
            </m:sub>
          </m:sSub>
          <m:r>
            <m:t> = </m:t>
          </m:r>
          <m:f>
            <m:fPr>
              <m:type m:val="bar"/>
            </m:fPr>
            <m:num>
              <m:r>
                <m:t>W - </m:t>
              </m:r>
              <m:f>
                <m:fPr>
                  <m:type m:val="bar"/>
                </m:fPr>
                <m:num>
                  <m:r>
                    <m:t>n(n + 1)</m:t>
                  </m:r>
                </m:num>
                <m:den>
                  <m:r>
                    <m:t>4</m:t>
                  </m:r>
                </m:den>
              </m:f>
            </m:num>
            <m:den>
              <m:rad>
                <m:radPr>
                  <m:degHide m:val="1"/>
                </m:radPr>
                <m:deg/>
                <m:e>
                  <m:f>
                    <m:fPr>
                      <m:type m:val="bar"/>
                    </m:fPr>
                    <m:num>
                      <m:r>
                        <m:t>n(n + 1)(2n + 1)</m:t>
                      </m:r>
                    </m:num>
                    <m:den>
                      <m:r>
                        <m:t>24</m:t>
                      </m:r>
                    </m:den>
                  </m:f>
                </m:e>
              </m:rad>
            </m:den>
          </m:f>
          <m:r>
            <m:t>          (14)</m:t>
          </m:r>
        </m:oMath>
      </m:oMathPara>
    </w:p>
    <w:p>
      <w:pPr>
        <w:spacing w:line="360" w:lineRule="auto" w:after="80"/>
        <w:jc w:val="both"/>
      </w:pPr>
      <w:r>
        <w:t>A magnitude prática e a relevância econômica das distorções foram quantificadas pelo coeficiente d de Cohen para amostras pareadas:</w:t>
      </w:r>
    </w:p>
    <w:p>
      <w:pPr>
        <w:spacing w:before="80" w:after="80" w:line="276" w:lineRule="auto"/>
        <w:jc w:val="center"/>
      </w:pPr>
      <m:oMathPara>
        <m:oMath>
          <m:sSub>
            <m:e>
              <m:r>
                <m:t>d</m:t>
              </m:r>
            </m:e>
            <m:sub>
              <m:r>
                <m:t>Cohen</m:t>
              </m:r>
            </m:sub>
          </m:sSub>
          <m:r>
            <m:t> = </m:t>
          </m:r>
          <m:f>
            <m:fPr>
              <m:type m:val="bar"/>
            </m:fPr>
            <m:num>
              <m:bar>
                <m:barPr>
                  <m:pos m:val="top"/>
                </m:barPr>
                <m:e>
                  <m:r>
                    <m:t>d</m:t>
                  </m:r>
                </m:e>
              </m:bar>
            </m:num>
            <m:den>
              <m:sSub>
                <m:e>
                  <m:r>
                    <m:t>s</m:t>
                  </m:r>
                </m:e>
                <m:sub>
                  <m:r>
                    <m:t>d</m:t>
                  </m:r>
                </m:sub>
              </m:sSub>
            </m:den>
          </m:f>
          <m:r>
            <m:t>          (15)</m:t>
          </m:r>
        </m:oMath>
      </m:oMathPara>
    </w:p>
    <w:p>
      <w:pPr>
        <w:spacing w:before="320" w:after="160" w:line="276" w:lineRule="auto"/>
      </w:pPr>
      <w:r>
        <w:rPr>
          <w:b/>
          <w:color w:val="000000"/>
          <w:sz w:val="26"/>
        </w:rPr>
        <w:t>3. Modelo Sequencial Intertemporal de Drenagem e a Dimensão Oculta do Endividamento</w:t>
      </w:r>
    </w:p>
    <w:p>
      <w:pPr>
        <w:spacing w:before="240" w:after="80" w:line="276" w:lineRule="auto"/>
      </w:pPr>
      <w:r>
        <w:rPr>
          <w:b/>
          <w:color w:val="000000"/>
          <w:sz w:val="24"/>
        </w:rPr>
        <w:t>3.1 Fundamentação Teórica: O Ciclo de Endividamento Forçado para Capex de Manutenção</w:t>
      </w:r>
    </w:p>
    <w:p>
      <w:pPr>
        <w:spacing w:line="360" w:lineRule="auto" w:after="120"/>
        <w:jc w:val="both"/>
      </w:pPr>
      <w:r>
        <w:t>Uma dimensão crítica e frequentemente negligenciada na literatura contábil tradicional refere-se ao impacto estrutural da proibição da reavaliação sobre a política de financiamento e a estrutura de capital das companhias. Em setores de capital intensivo, o investimento em bens de capital subdivide-se categoricamente em: (i) Capex de Expansão, voltado ao incremento da capacidade produtiva e conquista de novos mercados; e (ii) Capex de Manutenção (ou Reposição), estritamente necessário para repor o desgaste físico, manter a integridade operacional dos equipamentos e evitar a obsolescência tecnológica da planta industrial.</w:t>
      </w:r>
    </w:p>
    <w:p>
      <w:pPr>
        <w:spacing w:line="360" w:lineRule="auto" w:after="120"/>
        <w:jc w:val="both"/>
      </w:pPr>
      <w:r>
        <w:t>Sob uma perspectiva de preservação da continuidade operacional, o Capex de manutenção anual de uma planta madura equivale aproximadamente ao valor da depreciação econômica a custo de reposição (Capex_manut ≈ Dep_real). No entanto, como o sistema tributário e societário brasileiro impõe a apuração de lucros e proventos com base no custo histórico, deflagra-se uma sequência temporal de drenagem involuntária de liquidez que força a empresa a recorrer ao endividamento bancário e ao mercado de capitais.</w:t>
      </w:r>
    </w:p>
    <w:p>
      <w:pPr>
        <w:spacing w:before="240" w:after="80" w:line="276" w:lineRule="auto"/>
      </w:pPr>
      <w:r>
        <w:rPr>
          <w:b/>
          <w:color w:val="000000"/>
          <w:sz w:val="24"/>
        </w:rPr>
        <w:t>3.2 A Timeline Dinâmica em 5 Estágios: Fisco → Acionistas → Dívida</w:t>
      </w:r>
    </w:p>
    <w:p>
      <w:pPr>
        <w:spacing w:line="360" w:lineRule="auto" w:after="80"/>
        <w:jc w:val="both"/>
      </w:pPr>
      <w:r>
        <w:t>A dinâmica intertemporal da drenagem financeira opera no seguinte encadeamento sequencial em cada exercício social t:</w:t>
      </w:r>
    </w:p>
    <w:p>
      <w:pPr>
        <w:spacing w:line="360" w:lineRule="auto" w:after="80"/>
        <w:jc w:val="both"/>
      </w:pPr>
      <w:r>
        <w:rPr>
          <w:b/>
        </w:rPr>
        <w:t xml:space="preserve">Estágio 1 (Geração Bruta de Caixa Operacional): </w:t>
      </w:r>
      <w:r>
        <w:t>A infraestrutura física da firma opera gerando fluxo de caixa operacional bruto antes de despesas financeiras, tributos e investimentos (EBITDA_t).</w:t>
      </w:r>
    </w:p>
    <w:p>
      <w:pPr>
        <w:spacing w:line="360" w:lineRule="auto" w:after="80"/>
        <w:jc w:val="both"/>
      </w:pPr>
      <w:r>
        <w:rPr>
          <w:b/>
        </w:rPr>
        <w:t xml:space="preserve">Estágio 2 (Drenagem Fiscal pelo Estado): </w:t>
      </w:r>
      <w:r>
        <w:t>O Fisco apura o Lucro Real contábil subestimando a depreciação real e recolhe IRPJ/CSLL à base nominal de 34%. O volume financeiro excedente confiscado corresponde ao Tributo Oculto: Tributo_oculto,t = 0,34 × ΔDep_t.</w:t>
      </w:r>
    </w:p>
    <w:p>
      <w:pPr>
        <w:spacing w:line="360" w:lineRule="auto" w:after="80"/>
        <w:jc w:val="both"/>
      </w:pPr>
      <w:r>
        <w:rPr>
          <w:b/>
        </w:rPr>
        <w:t xml:space="preserve">Estágio 3 (Drenagem Acionária por Proventos Compulsórios): </w:t>
      </w:r>
      <w:r>
        <w:t>A assembleia de acionistas aprova a distribuição de proventos (dividendos e JCP) aplicando o payout estatutário d sobre o Lucro Contábil inflacionado (Div_pagos,t = d × LL_cont,t). A parcela que excede o lucro econômico real constitui a Descapitalização Acionária: Descap_acionistas,t = Div_pagos,t - Div_real,t.</w:t>
      </w:r>
    </w:p>
    <w:p>
      <w:pPr>
        <w:spacing w:line="360" w:lineRule="auto" w:after="80"/>
        <w:jc w:val="both"/>
      </w:pPr>
      <w:r>
        <w:rPr>
          <w:b/>
        </w:rPr>
        <w:t xml:space="preserve">Estágio 4 (Déficit de Financiamento do Capex e Alavancagem Compulsória): </w:t>
      </w:r>
      <w:r>
        <w:t>O Fluxo de Caixa Livre Residual disponível após o pagamento de tributos, juros e dividendos torna-se insuficiente para cobrir o Capex de Manutenção necessário. A empresa é compelida a emitir nova dívida onerosa (ΔD_t) exatamente no montante da liquidez drenada:</w:t>
      </w:r>
    </w:p>
    <w:p>
      <w:pPr>
        <w:spacing w:line="360" w:lineRule="auto" w:after="80"/>
        <w:jc w:val="both"/>
      </w:pPr>
      <w:r>
        <w:rPr>
          <w:b/>
        </w:rPr>
        <w:t xml:space="preserve">Estágio 5 (Retroalimentação no Custo de Capital - WACC): </w:t>
      </w:r>
      <w:r>
        <w:t>A emissão continuada de dívida para sustentar o parque existente eleva os índices de alavancagem financeira (Dívida Líquida / EBITDA e D / PL). Isso acarreta rebaixamento de ratings de crédito pelas agências de risco, ampliando o spread bancário, elevando o custo da dívida (K_d) e onerando o Custo Médio Ponderado de Capital (WACC), deprimindo a criação de valor futuro.</w:t>
      </w:r>
    </w:p>
    <w:p>
      <w:pPr>
        <w:spacing w:line="360" w:lineRule="auto" w:after="80"/>
        <w:jc w:val="both"/>
      </w:pPr>
      <w:r>
        <w:t>Formaliza-se a equação fundamental do déficit de financiamento de manutenção e a dinâmica de acumulação do estoque de dívida bruta:</w:t>
      </w:r>
    </w:p>
    <w:p>
      <w:pPr>
        <w:spacing w:before="80" w:after="80" w:line="276" w:lineRule="auto"/>
        <w:jc w:val="center"/>
      </w:pPr>
      <m:oMathPara>
        <m:oMath>
          <m:sSub>
            <m:e>
              <m:r>
                <m:t>ΔD</m:t>
              </m:r>
            </m:e>
            <m:sub>
              <m:r>
                <m:t>t</m:t>
              </m:r>
            </m:sub>
          </m:sSub>
          <m:r>
            <m:t> = </m:t>
          </m:r>
          <m:sSub>
            <m:e>
              <m:r>
                <m:t>Capex</m:t>
              </m:r>
            </m:e>
            <m:sub>
              <m:r>
                <m:t>manut,t</m:t>
              </m:r>
            </m:sub>
          </m:sSub>
          <m:r>
            <m:t> - </m:t>
          </m:r>
          <m:sSub>
            <m:e>
              <m:r>
                <m:t>FCL</m:t>
              </m:r>
            </m:e>
            <m:sub>
              <m:r>
                <m:t>residual,t</m:t>
              </m:r>
            </m:sub>
          </m:sSub>
          <m:r>
            <m:t> = </m:t>
          </m:r>
          <m:sSub>
            <m:e>
              <m:r>
                <m:t>Tributo</m:t>
              </m:r>
            </m:e>
            <m:sub>
              <m:r>
                <m:t>oculto,t</m:t>
              </m:r>
            </m:sub>
          </m:sSub>
          <m:r>
            <m:t> + </m:t>
          </m:r>
          <m:sSub>
            <m:e>
              <m:r>
                <m:t>Descap</m:t>
              </m:r>
            </m:e>
            <m:sub>
              <m:r>
                <m:t>acionistas,t</m:t>
              </m:r>
            </m:sub>
          </m:sSub>
          <m:r>
            <m:t>          (16)</m:t>
          </m:r>
        </m:oMath>
      </m:oMathPara>
    </w:p>
    <w:p>
      <w:pPr>
        <w:spacing w:before="80" w:after="80" w:line="276" w:lineRule="auto"/>
        <w:jc w:val="center"/>
      </w:pPr>
      <m:oMathPara>
        <m:oMath>
          <m:sSub>
            <m:e>
              <m:r>
                <m:t>D</m:t>
              </m:r>
            </m:e>
            <m:sub>
              <m:r>
                <m:t>t</m:t>
              </m:r>
            </m:sub>
          </m:sSub>
          <m:r>
            <m:t> = </m:t>
          </m:r>
          <m:sSub>
            <m:e>
              <m:r>
                <m:t>D</m:t>
              </m:r>
            </m:e>
            <m:sub>
              <m:r>
                <m:t>t-1</m:t>
              </m:r>
            </m:sub>
          </m:sSub>
          <m:r>
            <m:t> × (1 + </m:t>
          </m:r>
          <m:sSub>
            <m:e>
              <m:r>
                <m:t>K</m:t>
              </m:r>
            </m:e>
            <m:sub>
              <m:r>
                <m:t>d,t-1</m:t>
              </m:r>
            </m:sub>
          </m:sSub>
          <m:r>
            <m:t>) + </m:t>
          </m:r>
          <m:sSub>
            <m:e>
              <m:r>
                <m:t>ΔD</m:t>
              </m:r>
            </m:e>
            <m:sub>
              <m:r>
                <m:t>t</m:t>
              </m:r>
            </m:sub>
          </m:sSub>
          <m:r>
            <m:t>          (17)</m:t>
          </m:r>
        </m:oMath>
      </m:oMathPara>
    </w:p>
    <w:p>
      <w:pPr>
        <w:spacing w:before="80" w:after="80" w:line="276" w:lineRule="auto"/>
        <w:jc w:val="center"/>
      </w:pPr>
      <m:oMathPara>
        <m:oMath>
          <m:sSub>
            <m:e>
              <m:r>
                <m:t>K</m:t>
              </m:r>
            </m:e>
            <m:sub>
              <m:r>
                <m:t>d,t</m:t>
              </m:r>
            </m:sub>
          </m:sSub>
          <m:r>
            <m:t> = </m:t>
          </m:r>
          <m:sSub>
            <m:e>
              <m:r>
                <m:t>R</m:t>
              </m:r>
            </m:e>
            <m:sub>
              <m:r>
                <m:t>f</m:t>
              </m:r>
            </m:sub>
          </m:sSub>
          <m:r>
            <m:t> + Spread</m:t>
          </m:r>
          <m:r>
            <m:t>(</m:t>
          </m:r>
          <m:f>
            <m:fPr>
              <m:type m:val="bar"/>
            </m:fPr>
            <m:num>
              <m:sSub>
                <m:e>
                  <m:r>
                    <m:t>D</m:t>
                  </m:r>
                </m:e>
                <m:sub>
                  <m:r>
                    <m:t>t</m:t>
                  </m:r>
                </m:sub>
              </m:sSub>
            </m:num>
            <m:den>
              <m:sSub>
                <m:e>
                  <m:r>
                    <m:t>EBITDA</m:t>
                  </m:r>
                </m:e>
                <m:sub>
                  <m:r>
                    <m:t>t</m:t>
                  </m:r>
                </m:sub>
              </m:sSub>
            </m:den>
          </m:f>
          <m:r>
            <m:t>)</m:t>
          </m:r>
          <m:r>
            <m:t>          (18)</m:t>
          </m:r>
        </m:oMath>
      </m:oMathPara>
    </w:p>
    <w:p>
      <w:pPr>
        <w:spacing w:before="80" w:after="80" w:line="276" w:lineRule="auto"/>
        <w:jc w:val="center"/>
      </w:pPr>
      <m:oMathPara>
        <m:oMath>
          <m:r>
            <m:t>WACC_t = </m:t>
          </m:r>
          <m:r>
            <m:t>(</m:t>
          </m:r>
          <m:f>
            <m:fPr>
              <m:type m:val="bar"/>
            </m:fPr>
            <m:num>
              <m:sSub>
                <m:e>
                  <m:r>
                    <m:t>D</m:t>
                  </m:r>
                </m:e>
                <m:sub>
                  <m:r>
                    <m:t>t</m:t>
                  </m:r>
                </m:sub>
              </m:sSub>
            </m:num>
            <m:den>
              <m:sSub>
                <m:e>
                  <m:r>
                    <m:t>D</m:t>
                  </m:r>
                </m:e>
                <m:sub>
                  <m:r>
                    <m:t>t</m:t>
                  </m:r>
                </m:sub>
              </m:sSub>
              <m:sSub>
                <m:e>
                  <m:r>
                    <m:t>E</m:t>
                  </m:r>
                </m:e>
                <m:sub>
                  <m:r>
                    <m:t>t</m:t>
                  </m:r>
                </m:sub>
              </m:sSub>
            </m:den>
          </m:f>
          <m:r>
            <m:t>) × </m:t>
          </m:r>
          <m:sSub>
            <m:e>
              <m:r>
                <m:t>K</m:t>
              </m:r>
            </m:e>
            <m:sub>
              <m:r>
                <m:t>d,t</m:t>
              </m:r>
            </m:sub>
          </m:sSub>
          <m:r>
            <m:t> × (1 - 0,34) + </m:t>
          </m:r>
          <m:r>
            <m:t>(</m:t>
          </m:r>
          <m:f>
            <m:fPr>
              <m:type m:val="bar"/>
            </m:fPr>
            <m:num>
              <m:sSub>
                <m:e>
                  <m:r>
                    <m:t>E</m:t>
                  </m:r>
                </m:e>
                <m:sub>
                  <m:r>
                    <m:t>t</m:t>
                  </m:r>
                </m:sub>
              </m:sSub>
            </m:num>
            <m:den>
              <m:sSub>
                <m:e>
                  <m:r>
                    <m:t>D</m:t>
                  </m:r>
                </m:e>
                <m:sub>
                  <m:r>
                    <m:t>t</m:t>
                  </m:r>
                </m:sub>
              </m:sSub>
              <m:sSub>
                <m:e>
                  <m:r>
                    <m:t>E</m:t>
                  </m:r>
                </m:e>
                <m:sub>
                  <m:r>
                    <m:t>t</m:t>
                  </m:r>
                </m:sub>
              </m:sSub>
            </m:den>
          </m:f>
          <m:r>
            <m:t>) × </m:t>
          </m:r>
          <m:sSub>
            <m:e>
              <m:r>
                <m:t>K</m:t>
              </m:r>
            </m:e>
            <m:sub>
              <m:r>
                <m:t>e,t</m:t>
              </m:r>
            </m:sub>
          </m:sSub>
          <m:r>
            <m:t>          (19)</m:t>
          </m:r>
        </m:oMath>
      </m:oMathPara>
    </w:p>
    <w:p>
      <w:pPr>
        <w:spacing w:before="240" w:after="80" w:line="276" w:lineRule="auto"/>
      </w:pPr>
      <w:r>
        <w:rPr>
          <w:b/>
          <w:color w:val="000000"/>
          <w:sz w:val="24"/>
        </w:rPr>
        <w:t>3.3 Simulação Numérica do Ciclo de Dívida e Impacto no WACC</w:t>
      </w:r>
    </w:p>
    <w:p>
      <w:pPr>
        <w:spacing w:line="360" w:lineRule="auto" w:after="120"/>
        <w:jc w:val="both"/>
      </w:pPr>
      <w:r>
        <w:t>A Tabela 4 apresenta uma simulação intertemporal computacional de 10 anos para uma companhia sintética representativa do setor industrial pesado (com Imobilizado Bruto inicial de R$ 10,0 bilhões, vida útil de 20 anos, EBITDA anual de R$ 2,5 bilhões e inflação de reposição de 6,0% a.a.). A simulação evidencia a progressão compulsória do endividamento bruto de R$ 2,0 bilhões para R$ 9,14 bilhões, a elevação do spread de risco e o encarecimento do WACC de 10,8% para 14,9%, corroborando matematicamente a erosão intertemporal da capacidade financeira da firma.</w:t>
      </w:r>
    </w:p>
    <w:p>
      <w:pPr>
        <w:spacing w:before="160" w:after="80"/>
      </w:pPr>
      <w:r>
        <w:rPr>
          <w:b/>
        </w:rPr>
        <w:t xml:space="preserve">Tabela 4. </w:t>
      </w:r>
      <w:r>
        <w:t>Simulação da dinâmica intertemporal de drenagem de caixa, endividamento compulsório e custo de capital (WACC)</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EAEAEA"/>
            <w:tcMar>
              <w:top w:w="50" w:type="dxa"/>
              <w:bottom w:w="50" w:type="dxa"/>
              <w:left w:w="60" w:type="dxa"/>
              <w:right w:w="60" w:type="dxa"/>
            </w:tcMar>
          </w:tcPr>
          <w:p>
            <w:pPr>
              <w:spacing w:line="240" w:lineRule="auto" w:after="40" w:before="40"/>
              <w:jc w:val="center"/>
            </w:pPr>
            <w:r>
              <w:rPr>
                <w:b/>
                <w:sz w:val="15"/>
              </w:rPr>
              <w:t>Ano</w:t>
            </w:r>
          </w:p>
        </w:tc>
        <w:tc>
          <w:tcPr>
            <w:tcW w:type="dxa" w:w="851"/>
            <w:shd w:fill="EAEAEA"/>
            <w:tcMar>
              <w:top w:w="50" w:type="dxa"/>
              <w:bottom w:w="50" w:type="dxa"/>
              <w:left w:w="60" w:type="dxa"/>
              <w:right w:w="60" w:type="dxa"/>
            </w:tcMar>
          </w:tcPr>
          <w:p>
            <w:pPr>
              <w:spacing w:line="240" w:lineRule="auto" w:after="40" w:before="40"/>
              <w:jc w:val="center"/>
            </w:pPr>
            <w:r>
              <w:rPr>
                <w:b/>
                <w:sz w:val="15"/>
              </w:rPr>
              <w:t>EBITDA (R$ M)</w:t>
            </w:r>
          </w:p>
        </w:tc>
        <w:tc>
          <w:tcPr>
            <w:tcW w:type="dxa" w:w="851"/>
            <w:shd w:fill="EAEAEA"/>
            <w:tcMar>
              <w:top w:w="50" w:type="dxa"/>
              <w:bottom w:w="50" w:type="dxa"/>
              <w:left w:w="60" w:type="dxa"/>
              <w:right w:w="60" w:type="dxa"/>
            </w:tcMar>
          </w:tcPr>
          <w:p>
            <w:pPr>
              <w:spacing w:line="240" w:lineRule="auto" w:after="40" w:before="40"/>
              <w:jc w:val="center"/>
            </w:pPr>
            <w:r>
              <w:rPr>
                <w:b/>
                <w:sz w:val="15"/>
              </w:rPr>
              <w:t>Deprec. Cont. (R$ M)</w:t>
            </w:r>
          </w:p>
        </w:tc>
        <w:tc>
          <w:tcPr>
            <w:tcW w:type="dxa" w:w="851"/>
            <w:shd w:fill="EAEAEA"/>
            <w:tcMar>
              <w:top w:w="50" w:type="dxa"/>
              <w:bottom w:w="50" w:type="dxa"/>
              <w:left w:w="60" w:type="dxa"/>
              <w:right w:w="60" w:type="dxa"/>
            </w:tcMar>
          </w:tcPr>
          <w:p>
            <w:pPr>
              <w:spacing w:line="240" w:lineRule="auto" w:after="40" w:before="40"/>
              <w:jc w:val="center"/>
            </w:pPr>
            <w:r>
              <w:rPr>
                <w:b/>
                <w:sz w:val="15"/>
              </w:rPr>
              <w:t>Deprec. Real (R$ M)</w:t>
            </w:r>
          </w:p>
        </w:tc>
        <w:tc>
          <w:tcPr>
            <w:tcW w:type="dxa" w:w="851"/>
            <w:shd w:fill="EAEAEA"/>
            <w:tcMar>
              <w:top w:w="50" w:type="dxa"/>
              <w:bottom w:w="50" w:type="dxa"/>
              <w:left w:w="60" w:type="dxa"/>
              <w:right w:w="60" w:type="dxa"/>
            </w:tcMar>
          </w:tcPr>
          <w:p>
            <w:pPr>
              <w:spacing w:line="240" w:lineRule="auto" w:after="40" w:before="40"/>
              <w:jc w:val="center"/>
            </w:pPr>
            <w:r>
              <w:rPr>
                <w:b/>
                <w:sz w:val="15"/>
              </w:rPr>
              <w:t>Tributo Oculto (R$ M)</w:t>
            </w:r>
          </w:p>
        </w:tc>
        <w:tc>
          <w:tcPr>
            <w:tcW w:type="dxa" w:w="851"/>
            <w:shd w:fill="EAEAEA"/>
            <w:tcMar>
              <w:top w:w="50" w:type="dxa"/>
              <w:bottom w:w="50" w:type="dxa"/>
              <w:left w:w="60" w:type="dxa"/>
              <w:right w:w="60" w:type="dxa"/>
            </w:tcMar>
          </w:tcPr>
          <w:p>
            <w:pPr>
              <w:spacing w:line="240" w:lineRule="auto" w:after="40" w:before="40"/>
              <w:jc w:val="center"/>
            </w:pPr>
            <w:r>
              <w:rPr>
                <w:b/>
                <w:sz w:val="15"/>
              </w:rPr>
              <w:t>Descap. Div. (R$ M)</w:t>
            </w:r>
          </w:p>
        </w:tc>
        <w:tc>
          <w:tcPr>
            <w:tcW w:type="dxa" w:w="851"/>
            <w:shd w:fill="EAEAEA"/>
            <w:tcMar>
              <w:top w:w="50" w:type="dxa"/>
              <w:bottom w:w="50" w:type="dxa"/>
              <w:left w:w="60" w:type="dxa"/>
              <w:right w:w="60" w:type="dxa"/>
            </w:tcMar>
          </w:tcPr>
          <w:p>
            <w:pPr>
              <w:spacing w:line="240" w:lineRule="auto" w:after="40" w:before="40"/>
              <w:jc w:val="center"/>
            </w:pPr>
            <w:r>
              <w:rPr>
                <w:b/>
                <w:sz w:val="15"/>
              </w:rPr>
              <w:t>Nova Dívida ΔD (R$ M)</w:t>
            </w:r>
          </w:p>
        </w:tc>
        <w:tc>
          <w:tcPr>
            <w:tcW w:type="dxa" w:w="851"/>
            <w:shd w:fill="EAEAEA"/>
            <w:tcMar>
              <w:top w:w="50" w:type="dxa"/>
              <w:bottom w:w="50" w:type="dxa"/>
              <w:left w:w="60" w:type="dxa"/>
              <w:right w:w="60" w:type="dxa"/>
            </w:tcMar>
          </w:tcPr>
          <w:p>
            <w:pPr>
              <w:spacing w:line="240" w:lineRule="auto" w:after="40" w:before="40"/>
              <w:jc w:val="center"/>
            </w:pPr>
            <w:r>
              <w:rPr>
                <w:b/>
                <w:sz w:val="15"/>
              </w:rPr>
              <w:t>Dívida Bruta (R$ M)</w:t>
            </w:r>
          </w:p>
        </w:tc>
        <w:tc>
          <w:tcPr>
            <w:tcW w:type="dxa" w:w="851"/>
            <w:shd w:fill="EAEAEA"/>
            <w:tcMar>
              <w:top w:w="50" w:type="dxa"/>
              <w:bottom w:w="50" w:type="dxa"/>
              <w:left w:w="60" w:type="dxa"/>
              <w:right w:w="60" w:type="dxa"/>
            </w:tcMar>
          </w:tcPr>
          <w:p>
            <w:pPr>
              <w:spacing w:line="240" w:lineRule="auto" w:after="40" w:before="40"/>
              <w:jc w:val="center"/>
            </w:pPr>
            <w:r>
              <w:rPr>
                <w:b/>
                <w:sz w:val="15"/>
              </w:rPr>
              <w:t>Dívida / EBITDA</w:t>
            </w:r>
          </w:p>
        </w:tc>
        <w:tc>
          <w:tcPr>
            <w:tcW w:type="dxa" w:w="851"/>
            <w:shd w:fill="EAEAEA"/>
            <w:tcMar>
              <w:top w:w="50" w:type="dxa"/>
              <w:bottom w:w="50" w:type="dxa"/>
              <w:left w:w="60" w:type="dxa"/>
              <w:right w:w="60" w:type="dxa"/>
            </w:tcMar>
          </w:tcPr>
          <w:p>
            <w:pPr>
              <w:spacing w:line="240" w:lineRule="auto" w:after="40" w:before="40"/>
              <w:jc w:val="center"/>
            </w:pPr>
            <w:r>
              <w:rPr>
                <w:b/>
                <w:sz w:val="15"/>
              </w:rPr>
              <w:t>Kd Bruto (%)</w:t>
            </w:r>
          </w:p>
        </w:tc>
        <w:tc>
          <w:tcPr>
            <w:tcW w:type="dxa" w:w="851"/>
            <w:shd w:fill="EAEAEA"/>
            <w:tcMar>
              <w:top w:w="50" w:type="dxa"/>
              <w:bottom w:w="50" w:type="dxa"/>
              <w:left w:w="60" w:type="dxa"/>
              <w:right w:w="60" w:type="dxa"/>
            </w:tcMar>
          </w:tcPr>
          <w:p>
            <w:pPr>
              <w:spacing w:line="240" w:lineRule="auto" w:after="40" w:before="40"/>
              <w:jc w:val="center"/>
            </w:pPr>
            <w:r>
              <w:rPr>
                <w:b/>
                <w:sz w:val="15"/>
              </w:rPr>
              <w:t>WACC (%)</w:t>
            </w:r>
          </w:p>
        </w:tc>
      </w:tr>
      <w:tr>
        <w:tc>
          <w:tcPr>
            <w:tcW w:type="dxa" w:w="851"/>
            <w:tcMar>
              <w:top w:w="50" w:type="dxa"/>
              <w:bottom w:w="50" w:type="dxa"/>
              <w:left w:w="60" w:type="dxa"/>
              <w:right w:w="60" w:type="dxa"/>
            </w:tcMar>
          </w:tcPr>
          <w:p>
            <w:pPr>
              <w:spacing w:line="240" w:lineRule="auto" w:after="40" w:before="40"/>
              <w:jc w:val="left"/>
            </w:pPr>
            <w:r>
              <w:rPr>
                <w:sz w:val="15"/>
              </w:rPr>
              <w:t>Ano 1</w:t>
            </w:r>
          </w:p>
        </w:tc>
        <w:tc>
          <w:tcPr>
            <w:tcW w:type="dxa" w:w="851"/>
            <w:tcMar>
              <w:top w:w="50" w:type="dxa"/>
              <w:bottom w:w="50" w:type="dxa"/>
              <w:left w:w="60" w:type="dxa"/>
              <w:right w:w="60" w:type="dxa"/>
            </w:tcMar>
          </w:tcPr>
          <w:p>
            <w:pPr>
              <w:spacing w:line="240" w:lineRule="auto" w:after="40" w:before="40"/>
              <w:jc w:val="right"/>
            </w:pPr>
            <w:r>
              <w:rPr>
                <w:sz w:val="15"/>
              </w:rPr>
              <w:t>2.500</w:t>
            </w:r>
          </w:p>
        </w:tc>
        <w:tc>
          <w:tcPr>
            <w:tcW w:type="dxa" w:w="851"/>
            <w:tcMar>
              <w:top w:w="50" w:type="dxa"/>
              <w:bottom w:w="50" w:type="dxa"/>
              <w:left w:w="60" w:type="dxa"/>
              <w:right w:w="60" w:type="dxa"/>
            </w:tcMar>
          </w:tcPr>
          <w:p>
            <w:pPr>
              <w:spacing w:line="240" w:lineRule="auto" w:after="40" w:before="40"/>
              <w:jc w:val="right"/>
            </w:pPr>
            <w:r>
              <w:rPr>
                <w:sz w:val="15"/>
              </w:rPr>
              <w:t>500</w:t>
            </w:r>
          </w:p>
        </w:tc>
        <w:tc>
          <w:tcPr>
            <w:tcW w:type="dxa" w:w="851"/>
            <w:tcMar>
              <w:top w:w="50" w:type="dxa"/>
              <w:bottom w:w="50" w:type="dxa"/>
              <w:left w:w="60" w:type="dxa"/>
              <w:right w:w="60" w:type="dxa"/>
            </w:tcMar>
          </w:tcPr>
          <w:p>
            <w:pPr>
              <w:spacing w:line="240" w:lineRule="auto" w:after="40" w:before="40"/>
              <w:jc w:val="right"/>
            </w:pPr>
            <w:r>
              <w:rPr>
                <w:sz w:val="15"/>
              </w:rPr>
              <w:t>530</w:t>
            </w:r>
          </w:p>
        </w:tc>
        <w:tc>
          <w:tcPr>
            <w:tcW w:type="dxa" w:w="851"/>
            <w:tcMar>
              <w:top w:w="50" w:type="dxa"/>
              <w:bottom w:w="50" w:type="dxa"/>
              <w:left w:w="60" w:type="dxa"/>
              <w:right w:w="60" w:type="dxa"/>
            </w:tcMar>
          </w:tcPr>
          <w:p>
            <w:pPr>
              <w:spacing w:line="240" w:lineRule="auto" w:after="40" w:before="40"/>
              <w:jc w:val="right"/>
            </w:pPr>
            <w:r>
              <w:rPr>
                <w:sz w:val="15"/>
              </w:rPr>
              <w:t>10,2</w:t>
            </w:r>
          </w:p>
        </w:tc>
        <w:tc>
          <w:tcPr>
            <w:tcW w:type="dxa" w:w="851"/>
            <w:tcMar>
              <w:top w:w="50" w:type="dxa"/>
              <w:bottom w:w="50" w:type="dxa"/>
              <w:left w:w="60" w:type="dxa"/>
              <w:right w:w="60" w:type="dxa"/>
            </w:tcMar>
          </w:tcPr>
          <w:p>
            <w:pPr>
              <w:spacing w:line="240" w:lineRule="auto" w:after="40" w:before="40"/>
              <w:jc w:val="right"/>
            </w:pPr>
            <w:r>
              <w:rPr>
                <w:sz w:val="15"/>
              </w:rPr>
              <w:t>15,0</w:t>
            </w:r>
          </w:p>
        </w:tc>
        <w:tc>
          <w:tcPr>
            <w:tcW w:type="dxa" w:w="851"/>
            <w:tcMar>
              <w:top w:w="50" w:type="dxa"/>
              <w:bottom w:w="50" w:type="dxa"/>
              <w:left w:w="60" w:type="dxa"/>
              <w:right w:w="60" w:type="dxa"/>
            </w:tcMar>
          </w:tcPr>
          <w:p>
            <w:pPr>
              <w:spacing w:line="240" w:lineRule="auto" w:after="40" w:before="40"/>
              <w:jc w:val="right"/>
            </w:pPr>
            <w:r>
              <w:rPr>
                <w:sz w:val="15"/>
              </w:rPr>
              <w:t>25,2</w:t>
            </w:r>
          </w:p>
        </w:tc>
        <w:tc>
          <w:tcPr>
            <w:tcW w:type="dxa" w:w="851"/>
            <w:tcMar>
              <w:top w:w="50" w:type="dxa"/>
              <w:bottom w:w="50" w:type="dxa"/>
              <w:left w:w="60" w:type="dxa"/>
              <w:right w:w="60" w:type="dxa"/>
            </w:tcMar>
          </w:tcPr>
          <w:p>
            <w:pPr>
              <w:spacing w:line="240" w:lineRule="auto" w:after="40" w:before="40"/>
              <w:jc w:val="right"/>
            </w:pPr>
            <w:r>
              <w:rPr>
                <w:sz w:val="15"/>
              </w:rPr>
              <w:t>2.025</w:t>
            </w:r>
          </w:p>
        </w:tc>
        <w:tc>
          <w:tcPr>
            <w:tcW w:type="dxa" w:w="851"/>
            <w:tcMar>
              <w:top w:w="50" w:type="dxa"/>
              <w:bottom w:w="50" w:type="dxa"/>
              <w:left w:w="60" w:type="dxa"/>
              <w:right w:w="60" w:type="dxa"/>
            </w:tcMar>
          </w:tcPr>
          <w:p>
            <w:pPr>
              <w:spacing w:line="240" w:lineRule="auto" w:after="40" w:before="40"/>
              <w:jc w:val="right"/>
            </w:pPr>
            <w:r>
              <w:rPr>
                <w:sz w:val="15"/>
              </w:rPr>
              <w:t>0,81x</w:t>
            </w:r>
          </w:p>
        </w:tc>
        <w:tc>
          <w:tcPr>
            <w:tcW w:type="dxa" w:w="851"/>
            <w:tcMar>
              <w:top w:w="50" w:type="dxa"/>
              <w:bottom w:w="50" w:type="dxa"/>
              <w:left w:w="60" w:type="dxa"/>
              <w:right w:w="60" w:type="dxa"/>
            </w:tcMar>
          </w:tcPr>
          <w:p>
            <w:pPr>
              <w:spacing w:line="240" w:lineRule="auto" w:after="40" w:before="40"/>
              <w:jc w:val="right"/>
            </w:pPr>
            <w:r>
              <w:rPr>
                <w:sz w:val="15"/>
              </w:rPr>
              <w:t>8,5%</w:t>
            </w:r>
          </w:p>
        </w:tc>
        <w:tc>
          <w:tcPr>
            <w:tcW w:type="dxa" w:w="851"/>
            <w:tcMar>
              <w:top w:w="50" w:type="dxa"/>
              <w:bottom w:w="50" w:type="dxa"/>
              <w:left w:w="60" w:type="dxa"/>
              <w:right w:w="60" w:type="dxa"/>
            </w:tcMar>
          </w:tcPr>
          <w:p>
            <w:pPr>
              <w:spacing w:line="240" w:lineRule="auto" w:after="40" w:before="40"/>
              <w:jc w:val="right"/>
            </w:pPr>
            <w:r>
              <w:rPr>
                <w:sz w:val="15"/>
              </w:rPr>
              <w:t>10,8%</w:t>
            </w:r>
          </w:p>
        </w:tc>
      </w:tr>
      <w:tr>
        <w:tc>
          <w:tcPr>
            <w:tcW w:type="dxa" w:w="851"/>
            <w:tcMar>
              <w:top w:w="50" w:type="dxa"/>
              <w:bottom w:w="50" w:type="dxa"/>
              <w:left w:w="60" w:type="dxa"/>
              <w:right w:w="60" w:type="dxa"/>
            </w:tcMar>
          </w:tcPr>
          <w:p>
            <w:pPr>
              <w:spacing w:line="240" w:lineRule="auto" w:after="40" w:before="40"/>
              <w:jc w:val="left"/>
            </w:pPr>
            <w:r>
              <w:rPr>
                <w:sz w:val="15"/>
              </w:rPr>
              <w:t>Ano 2</w:t>
            </w:r>
          </w:p>
        </w:tc>
        <w:tc>
          <w:tcPr>
            <w:tcW w:type="dxa" w:w="851"/>
            <w:tcMar>
              <w:top w:w="50" w:type="dxa"/>
              <w:bottom w:w="50" w:type="dxa"/>
              <w:left w:w="60" w:type="dxa"/>
              <w:right w:w="60" w:type="dxa"/>
            </w:tcMar>
          </w:tcPr>
          <w:p>
            <w:pPr>
              <w:spacing w:line="240" w:lineRule="auto" w:after="40" w:before="40"/>
              <w:jc w:val="right"/>
            </w:pPr>
            <w:r>
              <w:rPr>
                <w:sz w:val="15"/>
              </w:rPr>
              <w:t>2.500</w:t>
            </w:r>
          </w:p>
        </w:tc>
        <w:tc>
          <w:tcPr>
            <w:tcW w:type="dxa" w:w="851"/>
            <w:tcMar>
              <w:top w:w="50" w:type="dxa"/>
              <w:bottom w:w="50" w:type="dxa"/>
              <w:left w:w="60" w:type="dxa"/>
              <w:right w:w="60" w:type="dxa"/>
            </w:tcMar>
          </w:tcPr>
          <w:p>
            <w:pPr>
              <w:spacing w:line="240" w:lineRule="auto" w:after="40" w:before="40"/>
              <w:jc w:val="right"/>
            </w:pPr>
            <w:r>
              <w:rPr>
                <w:sz w:val="15"/>
              </w:rPr>
              <w:t>500</w:t>
            </w:r>
          </w:p>
        </w:tc>
        <w:tc>
          <w:tcPr>
            <w:tcW w:type="dxa" w:w="851"/>
            <w:tcMar>
              <w:top w:w="50" w:type="dxa"/>
              <w:bottom w:w="50" w:type="dxa"/>
              <w:left w:w="60" w:type="dxa"/>
              <w:right w:w="60" w:type="dxa"/>
            </w:tcMar>
          </w:tcPr>
          <w:p>
            <w:pPr>
              <w:spacing w:line="240" w:lineRule="auto" w:after="40" w:before="40"/>
              <w:jc w:val="right"/>
            </w:pPr>
            <w:r>
              <w:rPr>
                <w:sz w:val="15"/>
              </w:rPr>
              <w:t>562</w:t>
            </w:r>
          </w:p>
        </w:tc>
        <w:tc>
          <w:tcPr>
            <w:tcW w:type="dxa" w:w="851"/>
            <w:tcMar>
              <w:top w:w="50" w:type="dxa"/>
              <w:bottom w:w="50" w:type="dxa"/>
              <w:left w:w="60" w:type="dxa"/>
              <w:right w:w="60" w:type="dxa"/>
            </w:tcMar>
          </w:tcPr>
          <w:p>
            <w:pPr>
              <w:spacing w:line="240" w:lineRule="auto" w:after="40" w:before="40"/>
              <w:jc w:val="right"/>
            </w:pPr>
            <w:r>
              <w:rPr>
                <w:sz w:val="15"/>
              </w:rPr>
              <w:t>21,0</w:t>
            </w:r>
          </w:p>
        </w:tc>
        <w:tc>
          <w:tcPr>
            <w:tcW w:type="dxa" w:w="851"/>
            <w:tcMar>
              <w:top w:w="50" w:type="dxa"/>
              <w:bottom w:w="50" w:type="dxa"/>
              <w:left w:w="60" w:type="dxa"/>
              <w:right w:w="60" w:type="dxa"/>
            </w:tcMar>
          </w:tcPr>
          <w:p>
            <w:pPr>
              <w:spacing w:line="240" w:lineRule="auto" w:after="40" w:before="40"/>
              <w:jc w:val="right"/>
            </w:pPr>
            <w:r>
              <w:rPr>
                <w:sz w:val="15"/>
              </w:rPr>
              <w:t>31,0</w:t>
            </w:r>
          </w:p>
        </w:tc>
        <w:tc>
          <w:tcPr>
            <w:tcW w:type="dxa" w:w="851"/>
            <w:tcMar>
              <w:top w:w="50" w:type="dxa"/>
              <w:bottom w:w="50" w:type="dxa"/>
              <w:left w:w="60" w:type="dxa"/>
              <w:right w:w="60" w:type="dxa"/>
            </w:tcMar>
          </w:tcPr>
          <w:p>
            <w:pPr>
              <w:spacing w:line="240" w:lineRule="auto" w:after="40" w:before="40"/>
              <w:jc w:val="right"/>
            </w:pPr>
            <w:r>
              <w:rPr>
                <w:sz w:val="15"/>
              </w:rPr>
              <w:t>52,0</w:t>
            </w:r>
          </w:p>
        </w:tc>
        <w:tc>
          <w:tcPr>
            <w:tcW w:type="dxa" w:w="851"/>
            <w:tcMar>
              <w:top w:w="50" w:type="dxa"/>
              <w:bottom w:w="50" w:type="dxa"/>
              <w:left w:w="60" w:type="dxa"/>
              <w:right w:w="60" w:type="dxa"/>
            </w:tcMar>
          </w:tcPr>
          <w:p>
            <w:pPr>
              <w:spacing w:line="240" w:lineRule="auto" w:after="40" w:before="40"/>
              <w:jc w:val="right"/>
            </w:pPr>
            <w:r>
              <w:rPr>
                <w:sz w:val="15"/>
              </w:rPr>
              <w:t>2.257</w:t>
            </w:r>
          </w:p>
        </w:tc>
        <w:tc>
          <w:tcPr>
            <w:tcW w:type="dxa" w:w="851"/>
            <w:tcMar>
              <w:top w:w="50" w:type="dxa"/>
              <w:bottom w:w="50" w:type="dxa"/>
              <w:left w:w="60" w:type="dxa"/>
              <w:right w:w="60" w:type="dxa"/>
            </w:tcMar>
          </w:tcPr>
          <w:p>
            <w:pPr>
              <w:spacing w:line="240" w:lineRule="auto" w:after="40" w:before="40"/>
              <w:jc w:val="right"/>
            </w:pPr>
            <w:r>
              <w:rPr>
                <w:sz w:val="15"/>
              </w:rPr>
              <w:t>0,90x</w:t>
            </w:r>
          </w:p>
        </w:tc>
        <w:tc>
          <w:tcPr>
            <w:tcW w:type="dxa" w:w="851"/>
            <w:tcMar>
              <w:top w:w="50" w:type="dxa"/>
              <w:bottom w:w="50" w:type="dxa"/>
              <w:left w:w="60" w:type="dxa"/>
              <w:right w:w="60" w:type="dxa"/>
            </w:tcMar>
          </w:tcPr>
          <w:p>
            <w:pPr>
              <w:spacing w:line="240" w:lineRule="auto" w:after="40" w:before="40"/>
              <w:jc w:val="right"/>
            </w:pPr>
            <w:r>
              <w:rPr>
                <w:sz w:val="15"/>
              </w:rPr>
              <w:t>8,7%</w:t>
            </w:r>
          </w:p>
        </w:tc>
        <w:tc>
          <w:tcPr>
            <w:tcW w:type="dxa" w:w="851"/>
            <w:tcMar>
              <w:top w:w="50" w:type="dxa"/>
              <w:bottom w:w="50" w:type="dxa"/>
              <w:left w:w="60" w:type="dxa"/>
              <w:right w:w="60" w:type="dxa"/>
            </w:tcMar>
          </w:tcPr>
          <w:p>
            <w:pPr>
              <w:spacing w:line="240" w:lineRule="auto" w:after="40" w:before="40"/>
              <w:jc w:val="right"/>
            </w:pPr>
            <w:r>
              <w:rPr>
                <w:sz w:val="15"/>
              </w:rPr>
              <w:t>11,0%</w:t>
            </w:r>
          </w:p>
        </w:tc>
      </w:tr>
      <w:tr>
        <w:tc>
          <w:tcPr>
            <w:tcW w:type="dxa" w:w="851"/>
            <w:tcMar>
              <w:top w:w="50" w:type="dxa"/>
              <w:bottom w:w="50" w:type="dxa"/>
              <w:left w:w="60" w:type="dxa"/>
              <w:right w:w="60" w:type="dxa"/>
            </w:tcMar>
          </w:tcPr>
          <w:p>
            <w:pPr>
              <w:spacing w:line="240" w:lineRule="auto" w:after="40" w:before="40"/>
              <w:jc w:val="left"/>
            </w:pPr>
            <w:r>
              <w:rPr>
                <w:sz w:val="15"/>
              </w:rPr>
              <w:t>Ano 3</w:t>
            </w:r>
          </w:p>
        </w:tc>
        <w:tc>
          <w:tcPr>
            <w:tcW w:type="dxa" w:w="851"/>
            <w:tcMar>
              <w:top w:w="50" w:type="dxa"/>
              <w:bottom w:w="50" w:type="dxa"/>
              <w:left w:w="60" w:type="dxa"/>
              <w:right w:w="60" w:type="dxa"/>
            </w:tcMar>
          </w:tcPr>
          <w:p>
            <w:pPr>
              <w:spacing w:line="240" w:lineRule="auto" w:after="40" w:before="40"/>
              <w:jc w:val="right"/>
            </w:pPr>
            <w:r>
              <w:rPr>
                <w:sz w:val="15"/>
              </w:rPr>
              <w:t>2.500</w:t>
            </w:r>
          </w:p>
        </w:tc>
        <w:tc>
          <w:tcPr>
            <w:tcW w:type="dxa" w:w="851"/>
            <w:tcMar>
              <w:top w:w="50" w:type="dxa"/>
              <w:bottom w:w="50" w:type="dxa"/>
              <w:left w:w="60" w:type="dxa"/>
              <w:right w:w="60" w:type="dxa"/>
            </w:tcMar>
          </w:tcPr>
          <w:p>
            <w:pPr>
              <w:spacing w:line="240" w:lineRule="auto" w:after="40" w:before="40"/>
              <w:jc w:val="right"/>
            </w:pPr>
            <w:r>
              <w:rPr>
                <w:sz w:val="15"/>
              </w:rPr>
              <w:t>500</w:t>
            </w:r>
          </w:p>
        </w:tc>
        <w:tc>
          <w:tcPr>
            <w:tcW w:type="dxa" w:w="851"/>
            <w:tcMar>
              <w:top w:w="50" w:type="dxa"/>
              <w:bottom w:w="50" w:type="dxa"/>
              <w:left w:w="60" w:type="dxa"/>
              <w:right w:w="60" w:type="dxa"/>
            </w:tcMar>
          </w:tcPr>
          <w:p>
            <w:pPr>
              <w:spacing w:line="240" w:lineRule="auto" w:after="40" w:before="40"/>
              <w:jc w:val="right"/>
            </w:pPr>
            <w:r>
              <w:rPr>
                <w:sz w:val="15"/>
              </w:rPr>
              <w:t>596</w:t>
            </w:r>
          </w:p>
        </w:tc>
        <w:tc>
          <w:tcPr>
            <w:tcW w:type="dxa" w:w="851"/>
            <w:tcMar>
              <w:top w:w="50" w:type="dxa"/>
              <w:bottom w:w="50" w:type="dxa"/>
              <w:left w:w="60" w:type="dxa"/>
              <w:right w:w="60" w:type="dxa"/>
            </w:tcMar>
          </w:tcPr>
          <w:p>
            <w:pPr>
              <w:spacing w:line="240" w:lineRule="auto" w:after="40" w:before="40"/>
              <w:jc w:val="right"/>
            </w:pPr>
            <w:r>
              <w:rPr>
                <w:sz w:val="15"/>
              </w:rPr>
              <w:t>32,6</w:t>
            </w:r>
          </w:p>
        </w:tc>
        <w:tc>
          <w:tcPr>
            <w:tcW w:type="dxa" w:w="851"/>
            <w:tcMar>
              <w:top w:w="50" w:type="dxa"/>
              <w:bottom w:w="50" w:type="dxa"/>
              <w:left w:w="60" w:type="dxa"/>
              <w:right w:w="60" w:type="dxa"/>
            </w:tcMar>
          </w:tcPr>
          <w:p>
            <w:pPr>
              <w:spacing w:line="240" w:lineRule="auto" w:after="40" w:before="40"/>
              <w:jc w:val="right"/>
            </w:pPr>
            <w:r>
              <w:rPr>
                <w:sz w:val="15"/>
              </w:rPr>
              <w:t>48,0</w:t>
            </w:r>
          </w:p>
        </w:tc>
        <w:tc>
          <w:tcPr>
            <w:tcW w:type="dxa" w:w="851"/>
            <w:tcMar>
              <w:top w:w="50" w:type="dxa"/>
              <w:bottom w:w="50" w:type="dxa"/>
              <w:left w:w="60" w:type="dxa"/>
              <w:right w:w="60" w:type="dxa"/>
            </w:tcMar>
          </w:tcPr>
          <w:p>
            <w:pPr>
              <w:spacing w:line="240" w:lineRule="auto" w:after="40" w:before="40"/>
              <w:jc w:val="right"/>
            </w:pPr>
            <w:r>
              <w:rPr>
                <w:sz w:val="15"/>
              </w:rPr>
              <w:t>80,6</w:t>
            </w:r>
          </w:p>
        </w:tc>
        <w:tc>
          <w:tcPr>
            <w:tcW w:type="dxa" w:w="851"/>
            <w:tcMar>
              <w:top w:w="50" w:type="dxa"/>
              <w:bottom w:w="50" w:type="dxa"/>
              <w:left w:w="60" w:type="dxa"/>
              <w:right w:w="60" w:type="dxa"/>
            </w:tcMar>
          </w:tcPr>
          <w:p>
            <w:pPr>
              <w:spacing w:line="240" w:lineRule="auto" w:after="40" w:before="40"/>
              <w:jc w:val="right"/>
            </w:pPr>
            <w:r>
              <w:rPr>
                <w:sz w:val="15"/>
              </w:rPr>
              <w:t>2.540</w:t>
            </w:r>
          </w:p>
        </w:tc>
        <w:tc>
          <w:tcPr>
            <w:tcW w:type="dxa" w:w="851"/>
            <w:tcMar>
              <w:top w:w="50" w:type="dxa"/>
              <w:bottom w:w="50" w:type="dxa"/>
              <w:left w:w="60" w:type="dxa"/>
              <w:right w:w="60" w:type="dxa"/>
            </w:tcMar>
          </w:tcPr>
          <w:p>
            <w:pPr>
              <w:spacing w:line="240" w:lineRule="auto" w:after="40" w:before="40"/>
              <w:jc w:val="right"/>
            </w:pPr>
            <w:r>
              <w:rPr>
                <w:sz w:val="15"/>
              </w:rPr>
              <w:t>1,02x</w:t>
            </w:r>
          </w:p>
        </w:tc>
        <w:tc>
          <w:tcPr>
            <w:tcW w:type="dxa" w:w="851"/>
            <w:tcMar>
              <w:top w:w="50" w:type="dxa"/>
              <w:bottom w:w="50" w:type="dxa"/>
              <w:left w:w="60" w:type="dxa"/>
              <w:right w:w="60" w:type="dxa"/>
            </w:tcMar>
          </w:tcPr>
          <w:p>
            <w:pPr>
              <w:spacing w:line="240" w:lineRule="auto" w:after="40" w:before="40"/>
              <w:jc w:val="right"/>
            </w:pPr>
            <w:r>
              <w:rPr>
                <w:sz w:val="15"/>
              </w:rPr>
              <w:t>9,0%</w:t>
            </w:r>
          </w:p>
        </w:tc>
        <w:tc>
          <w:tcPr>
            <w:tcW w:type="dxa" w:w="851"/>
            <w:tcMar>
              <w:top w:w="50" w:type="dxa"/>
              <w:bottom w:w="50" w:type="dxa"/>
              <w:left w:w="60" w:type="dxa"/>
              <w:right w:w="60" w:type="dxa"/>
            </w:tcMar>
          </w:tcPr>
          <w:p>
            <w:pPr>
              <w:spacing w:line="240" w:lineRule="auto" w:after="40" w:before="40"/>
              <w:jc w:val="right"/>
            </w:pPr>
            <w:r>
              <w:rPr>
                <w:sz w:val="15"/>
              </w:rPr>
              <w:t>11,3%</w:t>
            </w:r>
          </w:p>
        </w:tc>
      </w:tr>
      <w:tr>
        <w:tc>
          <w:tcPr>
            <w:tcW w:type="dxa" w:w="851"/>
            <w:tcMar>
              <w:top w:w="50" w:type="dxa"/>
              <w:bottom w:w="50" w:type="dxa"/>
              <w:left w:w="60" w:type="dxa"/>
              <w:right w:w="60" w:type="dxa"/>
            </w:tcMar>
          </w:tcPr>
          <w:p>
            <w:pPr>
              <w:spacing w:line="240" w:lineRule="auto" w:after="40" w:before="40"/>
              <w:jc w:val="left"/>
            </w:pPr>
            <w:r>
              <w:rPr>
                <w:sz w:val="15"/>
              </w:rPr>
              <w:t>Ano 4</w:t>
            </w:r>
          </w:p>
        </w:tc>
        <w:tc>
          <w:tcPr>
            <w:tcW w:type="dxa" w:w="851"/>
            <w:tcMar>
              <w:top w:w="50" w:type="dxa"/>
              <w:bottom w:w="50" w:type="dxa"/>
              <w:left w:w="60" w:type="dxa"/>
              <w:right w:w="60" w:type="dxa"/>
            </w:tcMar>
          </w:tcPr>
          <w:p>
            <w:pPr>
              <w:spacing w:line="240" w:lineRule="auto" w:after="40" w:before="40"/>
              <w:jc w:val="right"/>
            </w:pPr>
            <w:r>
              <w:rPr>
                <w:sz w:val="15"/>
              </w:rPr>
              <w:t>2.500</w:t>
            </w:r>
          </w:p>
        </w:tc>
        <w:tc>
          <w:tcPr>
            <w:tcW w:type="dxa" w:w="851"/>
            <w:tcMar>
              <w:top w:w="50" w:type="dxa"/>
              <w:bottom w:w="50" w:type="dxa"/>
              <w:left w:w="60" w:type="dxa"/>
              <w:right w:w="60" w:type="dxa"/>
            </w:tcMar>
          </w:tcPr>
          <w:p>
            <w:pPr>
              <w:spacing w:line="240" w:lineRule="auto" w:after="40" w:before="40"/>
              <w:jc w:val="right"/>
            </w:pPr>
            <w:r>
              <w:rPr>
                <w:sz w:val="15"/>
              </w:rPr>
              <w:t>500</w:t>
            </w:r>
          </w:p>
        </w:tc>
        <w:tc>
          <w:tcPr>
            <w:tcW w:type="dxa" w:w="851"/>
            <w:tcMar>
              <w:top w:w="50" w:type="dxa"/>
              <w:bottom w:w="50" w:type="dxa"/>
              <w:left w:w="60" w:type="dxa"/>
              <w:right w:w="60" w:type="dxa"/>
            </w:tcMar>
          </w:tcPr>
          <w:p>
            <w:pPr>
              <w:spacing w:line="240" w:lineRule="auto" w:after="40" w:before="40"/>
              <w:jc w:val="right"/>
            </w:pPr>
            <w:r>
              <w:rPr>
                <w:sz w:val="15"/>
              </w:rPr>
              <w:t>631</w:t>
            </w:r>
          </w:p>
        </w:tc>
        <w:tc>
          <w:tcPr>
            <w:tcW w:type="dxa" w:w="851"/>
            <w:tcMar>
              <w:top w:w="50" w:type="dxa"/>
              <w:bottom w:w="50" w:type="dxa"/>
              <w:left w:w="60" w:type="dxa"/>
              <w:right w:w="60" w:type="dxa"/>
            </w:tcMar>
          </w:tcPr>
          <w:p>
            <w:pPr>
              <w:spacing w:line="240" w:lineRule="auto" w:after="40" w:before="40"/>
              <w:jc w:val="right"/>
            </w:pPr>
            <w:r>
              <w:rPr>
                <w:sz w:val="15"/>
              </w:rPr>
              <w:t>44,5</w:t>
            </w:r>
          </w:p>
        </w:tc>
        <w:tc>
          <w:tcPr>
            <w:tcW w:type="dxa" w:w="851"/>
            <w:tcMar>
              <w:top w:w="50" w:type="dxa"/>
              <w:bottom w:w="50" w:type="dxa"/>
              <w:left w:w="60" w:type="dxa"/>
              <w:right w:w="60" w:type="dxa"/>
            </w:tcMar>
          </w:tcPr>
          <w:p>
            <w:pPr>
              <w:spacing w:line="240" w:lineRule="auto" w:after="40" w:before="40"/>
              <w:jc w:val="right"/>
            </w:pPr>
            <w:r>
              <w:rPr>
                <w:sz w:val="15"/>
              </w:rPr>
              <w:t>65,5</w:t>
            </w:r>
          </w:p>
        </w:tc>
        <w:tc>
          <w:tcPr>
            <w:tcW w:type="dxa" w:w="851"/>
            <w:tcMar>
              <w:top w:w="50" w:type="dxa"/>
              <w:bottom w:w="50" w:type="dxa"/>
              <w:left w:w="60" w:type="dxa"/>
              <w:right w:w="60" w:type="dxa"/>
            </w:tcMar>
          </w:tcPr>
          <w:p>
            <w:pPr>
              <w:spacing w:line="240" w:lineRule="auto" w:after="40" w:before="40"/>
              <w:jc w:val="right"/>
            </w:pPr>
            <w:r>
              <w:rPr>
                <w:sz w:val="15"/>
              </w:rPr>
              <w:t>110,0</w:t>
            </w:r>
          </w:p>
        </w:tc>
        <w:tc>
          <w:tcPr>
            <w:tcW w:type="dxa" w:w="851"/>
            <w:tcMar>
              <w:top w:w="50" w:type="dxa"/>
              <w:bottom w:w="50" w:type="dxa"/>
              <w:left w:w="60" w:type="dxa"/>
              <w:right w:w="60" w:type="dxa"/>
            </w:tcMar>
          </w:tcPr>
          <w:p>
            <w:pPr>
              <w:spacing w:line="240" w:lineRule="auto" w:after="40" w:before="40"/>
              <w:jc w:val="right"/>
            </w:pPr>
            <w:r>
              <w:rPr>
                <w:sz w:val="15"/>
              </w:rPr>
              <w:t>2.879</w:t>
            </w:r>
          </w:p>
        </w:tc>
        <w:tc>
          <w:tcPr>
            <w:tcW w:type="dxa" w:w="851"/>
            <w:tcMar>
              <w:top w:w="50" w:type="dxa"/>
              <w:bottom w:w="50" w:type="dxa"/>
              <w:left w:w="60" w:type="dxa"/>
              <w:right w:w="60" w:type="dxa"/>
            </w:tcMar>
          </w:tcPr>
          <w:p>
            <w:pPr>
              <w:spacing w:line="240" w:lineRule="auto" w:after="40" w:before="40"/>
              <w:jc w:val="right"/>
            </w:pPr>
            <w:r>
              <w:rPr>
                <w:sz w:val="15"/>
              </w:rPr>
              <w:t>1,15x</w:t>
            </w:r>
          </w:p>
        </w:tc>
        <w:tc>
          <w:tcPr>
            <w:tcW w:type="dxa" w:w="851"/>
            <w:tcMar>
              <w:top w:w="50" w:type="dxa"/>
              <w:bottom w:w="50" w:type="dxa"/>
              <w:left w:w="60" w:type="dxa"/>
              <w:right w:w="60" w:type="dxa"/>
            </w:tcMar>
          </w:tcPr>
          <w:p>
            <w:pPr>
              <w:spacing w:line="240" w:lineRule="auto" w:after="40" w:before="40"/>
              <w:jc w:val="right"/>
            </w:pPr>
            <w:r>
              <w:rPr>
                <w:sz w:val="15"/>
              </w:rPr>
              <w:t>9,4%</w:t>
            </w:r>
          </w:p>
        </w:tc>
        <w:tc>
          <w:tcPr>
            <w:tcW w:type="dxa" w:w="851"/>
            <w:tcMar>
              <w:top w:w="50" w:type="dxa"/>
              <w:bottom w:w="50" w:type="dxa"/>
              <w:left w:w="60" w:type="dxa"/>
              <w:right w:w="60" w:type="dxa"/>
            </w:tcMar>
          </w:tcPr>
          <w:p>
            <w:pPr>
              <w:spacing w:line="240" w:lineRule="auto" w:after="40" w:before="40"/>
              <w:jc w:val="right"/>
            </w:pPr>
            <w:r>
              <w:rPr>
                <w:sz w:val="15"/>
              </w:rPr>
              <w:t>11,6%</w:t>
            </w:r>
          </w:p>
        </w:tc>
      </w:tr>
      <w:tr>
        <w:tc>
          <w:tcPr>
            <w:tcW w:type="dxa" w:w="851"/>
            <w:tcMar>
              <w:top w:w="50" w:type="dxa"/>
              <w:bottom w:w="50" w:type="dxa"/>
              <w:left w:w="60" w:type="dxa"/>
              <w:right w:w="60" w:type="dxa"/>
            </w:tcMar>
          </w:tcPr>
          <w:p>
            <w:pPr>
              <w:spacing w:line="240" w:lineRule="auto" w:after="40" w:before="40"/>
              <w:jc w:val="left"/>
            </w:pPr>
            <w:r>
              <w:rPr>
                <w:sz w:val="15"/>
              </w:rPr>
              <w:t>Ano 5</w:t>
            </w:r>
          </w:p>
        </w:tc>
        <w:tc>
          <w:tcPr>
            <w:tcW w:type="dxa" w:w="851"/>
            <w:tcMar>
              <w:top w:w="50" w:type="dxa"/>
              <w:bottom w:w="50" w:type="dxa"/>
              <w:left w:w="60" w:type="dxa"/>
              <w:right w:w="60" w:type="dxa"/>
            </w:tcMar>
          </w:tcPr>
          <w:p>
            <w:pPr>
              <w:spacing w:line="240" w:lineRule="auto" w:after="40" w:before="40"/>
              <w:jc w:val="right"/>
            </w:pPr>
            <w:r>
              <w:rPr>
                <w:sz w:val="15"/>
              </w:rPr>
              <w:t>2.500</w:t>
            </w:r>
          </w:p>
        </w:tc>
        <w:tc>
          <w:tcPr>
            <w:tcW w:type="dxa" w:w="851"/>
            <w:tcMar>
              <w:top w:w="50" w:type="dxa"/>
              <w:bottom w:w="50" w:type="dxa"/>
              <w:left w:w="60" w:type="dxa"/>
              <w:right w:w="60" w:type="dxa"/>
            </w:tcMar>
          </w:tcPr>
          <w:p>
            <w:pPr>
              <w:spacing w:line="240" w:lineRule="auto" w:after="40" w:before="40"/>
              <w:jc w:val="right"/>
            </w:pPr>
            <w:r>
              <w:rPr>
                <w:sz w:val="15"/>
              </w:rPr>
              <w:t>500</w:t>
            </w:r>
          </w:p>
        </w:tc>
        <w:tc>
          <w:tcPr>
            <w:tcW w:type="dxa" w:w="851"/>
            <w:tcMar>
              <w:top w:w="50" w:type="dxa"/>
              <w:bottom w:w="50" w:type="dxa"/>
              <w:left w:w="60" w:type="dxa"/>
              <w:right w:w="60" w:type="dxa"/>
            </w:tcMar>
          </w:tcPr>
          <w:p>
            <w:pPr>
              <w:spacing w:line="240" w:lineRule="auto" w:after="40" w:before="40"/>
              <w:jc w:val="right"/>
            </w:pPr>
            <w:r>
              <w:rPr>
                <w:sz w:val="15"/>
              </w:rPr>
              <w:t>669</w:t>
            </w:r>
          </w:p>
        </w:tc>
        <w:tc>
          <w:tcPr>
            <w:tcW w:type="dxa" w:w="851"/>
            <w:tcMar>
              <w:top w:w="50" w:type="dxa"/>
              <w:bottom w:w="50" w:type="dxa"/>
              <w:left w:w="60" w:type="dxa"/>
              <w:right w:w="60" w:type="dxa"/>
            </w:tcMar>
          </w:tcPr>
          <w:p>
            <w:pPr>
              <w:spacing w:line="240" w:lineRule="auto" w:after="40" w:before="40"/>
              <w:jc w:val="right"/>
            </w:pPr>
            <w:r>
              <w:rPr>
                <w:sz w:val="15"/>
              </w:rPr>
              <w:t>57,5</w:t>
            </w:r>
          </w:p>
        </w:tc>
        <w:tc>
          <w:tcPr>
            <w:tcW w:type="dxa" w:w="851"/>
            <w:tcMar>
              <w:top w:w="50" w:type="dxa"/>
              <w:bottom w:w="50" w:type="dxa"/>
              <w:left w:w="60" w:type="dxa"/>
              <w:right w:w="60" w:type="dxa"/>
            </w:tcMar>
          </w:tcPr>
          <w:p>
            <w:pPr>
              <w:spacing w:line="240" w:lineRule="auto" w:after="40" w:before="40"/>
              <w:jc w:val="right"/>
            </w:pPr>
            <w:r>
              <w:rPr>
                <w:sz w:val="15"/>
              </w:rPr>
              <w:t>84,5</w:t>
            </w:r>
          </w:p>
        </w:tc>
        <w:tc>
          <w:tcPr>
            <w:tcW w:type="dxa" w:w="851"/>
            <w:tcMar>
              <w:top w:w="50" w:type="dxa"/>
              <w:bottom w:w="50" w:type="dxa"/>
              <w:left w:w="60" w:type="dxa"/>
              <w:right w:w="60" w:type="dxa"/>
            </w:tcMar>
          </w:tcPr>
          <w:p>
            <w:pPr>
              <w:spacing w:line="240" w:lineRule="auto" w:after="40" w:before="40"/>
              <w:jc w:val="right"/>
            </w:pPr>
            <w:r>
              <w:rPr>
                <w:sz w:val="15"/>
              </w:rPr>
              <w:t>142,0</w:t>
            </w:r>
          </w:p>
        </w:tc>
        <w:tc>
          <w:tcPr>
            <w:tcW w:type="dxa" w:w="851"/>
            <w:tcMar>
              <w:top w:w="50" w:type="dxa"/>
              <w:bottom w:w="50" w:type="dxa"/>
              <w:left w:w="60" w:type="dxa"/>
              <w:right w:w="60" w:type="dxa"/>
            </w:tcMar>
          </w:tcPr>
          <w:p>
            <w:pPr>
              <w:spacing w:line="240" w:lineRule="auto" w:after="40" w:before="40"/>
              <w:jc w:val="right"/>
            </w:pPr>
            <w:r>
              <w:rPr>
                <w:sz w:val="15"/>
              </w:rPr>
              <w:t>3.280</w:t>
            </w:r>
          </w:p>
        </w:tc>
        <w:tc>
          <w:tcPr>
            <w:tcW w:type="dxa" w:w="851"/>
            <w:tcMar>
              <w:top w:w="50" w:type="dxa"/>
              <w:bottom w:w="50" w:type="dxa"/>
              <w:left w:w="60" w:type="dxa"/>
              <w:right w:w="60" w:type="dxa"/>
            </w:tcMar>
          </w:tcPr>
          <w:p>
            <w:pPr>
              <w:spacing w:line="240" w:lineRule="auto" w:after="40" w:before="40"/>
              <w:jc w:val="right"/>
            </w:pPr>
            <w:r>
              <w:rPr>
                <w:sz w:val="15"/>
              </w:rPr>
              <w:t>1,31x</w:t>
            </w:r>
          </w:p>
        </w:tc>
        <w:tc>
          <w:tcPr>
            <w:tcW w:type="dxa" w:w="851"/>
            <w:tcMar>
              <w:top w:w="50" w:type="dxa"/>
              <w:bottom w:w="50" w:type="dxa"/>
              <w:left w:w="60" w:type="dxa"/>
              <w:right w:w="60" w:type="dxa"/>
            </w:tcMar>
          </w:tcPr>
          <w:p>
            <w:pPr>
              <w:spacing w:line="240" w:lineRule="auto" w:after="40" w:before="40"/>
              <w:jc w:val="right"/>
            </w:pPr>
            <w:r>
              <w:rPr>
                <w:sz w:val="15"/>
              </w:rPr>
              <w:t>9,9%</w:t>
            </w:r>
          </w:p>
        </w:tc>
        <w:tc>
          <w:tcPr>
            <w:tcW w:type="dxa" w:w="851"/>
            <w:tcMar>
              <w:top w:w="50" w:type="dxa"/>
              <w:bottom w:w="50" w:type="dxa"/>
              <w:left w:w="60" w:type="dxa"/>
              <w:right w:w="60" w:type="dxa"/>
            </w:tcMar>
          </w:tcPr>
          <w:p>
            <w:pPr>
              <w:spacing w:line="240" w:lineRule="auto" w:after="40" w:before="40"/>
              <w:jc w:val="right"/>
            </w:pPr>
            <w:r>
              <w:rPr>
                <w:sz w:val="15"/>
              </w:rPr>
              <w:t>12,0%</w:t>
            </w:r>
          </w:p>
        </w:tc>
      </w:tr>
      <w:tr>
        <w:tc>
          <w:tcPr>
            <w:tcW w:type="dxa" w:w="851"/>
            <w:tcMar>
              <w:top w:w="50" w:type="dxa"/>
              <w:bottom w:w="50" w:type="dxa"/>
              <w:left w:w="60" w:type="dxa"/>
              <w:right w:w="60" w:type="dxa"/>
            </w:tcMar>
          </w:tcPr>
          <w:p>
            <w:pPr>
              <w:spacing w:line="240" w:lineRule="auto" w:after="40" w:before="40"/>
              <w:jc w:val="left"/>
            </w:pPr>
            <w:r>
              <w:rPr>
                <w:sz w:val="15"/>
              </w:rPr>
              <w:t>Ano 6</w:t>
            </w:r>
          </w:p>
        </w:tc>
        <w:tc>
          <w:tcPr>
            <w:tcW w:type="dxa" w:w="851"/>
            <w:tcMar>
              <w:top w:w="50" w:type="dxa"/>
              <w:bottom w:w="50" w:type="dxa"/>
              <w:left w:w="60" w:type="dxa"/>
              <w:right w:w="60" w:type="dxa"/>
            </w:tcMar>
          </w:tcPr>
          <w:p>
            <w:pPr>
              <w:spacing w:line="240" w:lineRule="auto" w:after="40" w:before="40"/>
              <w:jc w:val="right"/>
            </w:pPr>
            <w:r>
              <w:rPr>
                <w:sz w:val="15"/>
              </w:rPr>
              <w:t>2.500</w:t>
            </w:r>
          </w:p>
        </w:tc>
        <w:tc>
          <w:tcPr>
            <w:tcW w:type="dxa" w:w="851"/>
            <w:tcMar>
              <w:top w:w="50" w:type="dxa"/>
              <w:bottom w:w="50" w:type="dxa"/>
              <w:left w:w="60" w:type="dxa"/>
              <w:right w:w="60" w:type="dxa"/>
            </w:tcMar>
          </w:tcPr>
          <w:p>
            <w:pPr>
              <w:spacing w:line="240" w:lineRule="auto" w:after="40" w:before="40"/>
              <w:jc w:val="right"/>
            </w:pPr>
            <w:r>
              <w:rPr>
                <w:sz w:val="15"/>
              </w:rPr>
              <w:t>500</w:t>
            </w:r>
          </w:p>
        </w:tc>
        <w:tc>
          <w:tcPr>
            <w:tcW w:type="dxa" w:w="851"/>
            <w:tcMar>
              <w:top w:w="50" w:type="dxa"/>
              <w:bottom w:w="50" w:type="dxa"/>
              <w:left w:w="60" w:type="dxa"/>
              <w:right w:w="60" w:type="dxa"/>
            </w:tcMar>
          </w:tcPr>
          <w:p>
            <w:pPr>
              <w:spacing w:line="240" w:lineRule="auto" w:after="40" w:before="40"/>
              <w:jc w:val="right"/>
            </w:pPr>
            <w:r>
              <w:rPr>
                <w:sz w:val="15"/>
              </w:rPr>
              <w:t>709</w:t>
            </w:r>
          </w:p>
        </w:tc>
        <w:tc>
          <w:tcPr>
            <w:tcW w:type="dxa" w:w="851"/>
            <w:tcMar>
              <w:top w:w="50" w:type="dxa"/>
              <w:bottom w:w="50" w:type="dxa"/>
              <w:left w:w="60" w:type="dxa"/>
              <w:right w:w="60" w:type="dxa"/>
            </w:tcMar>
          </w:tcPr>
          <w:p>
            <w:pPr>
              <w:spacing w:line="240" w:lineRule="auto" w:after="40" w:before="40"/>
              <w:jc w:val="right"/>
            </w:pPr>
            <w:r>
              <w:rPr>
                <w:sz w:val="15"/>
              </w:rPr>
              <w:t>71,1</w:t>
            </w:r>
          </w:p>
        </w:tc>
        <w:tc>
          <w:tcPr>
            <w:tcW w:type="dxa" w:w="851"/>
            <w:tcMar>
              <w:top w:w="50" w:type="dxa"/>
              <w:bottom w:w="50" w:type="dxa"/>
              <w:left w:w="60" w:type="dxa"/>
              <w:right w:w="60" w:type="dxa"/>
            </w:tcMar>
          </w:tcPr>
          <w:p>
            <w:pPr>
              <w:spacing w:line="240" w:lineRule="auto" w:after="40" w:before="40"/>
              <w:jc w:val="right"/>
            </w:pPr>
            <w:r>
              <w:rPr>
                <w:sz w:val="15"/>
              </w:rPr>
              <w:t>104,5</w:t>
            </w:r>
          </w:p>
        </w:tc>
        <w:tc>
          <w:tcPr>
            <w:tcW w:type="dxa" w:w="851"/>
            <w:tcMar>
              <w:top w:w="50" w:type="dxa"/>
              <w:bottom w:w="50" w:type="dxa"/>
              <w:left w:w="60" w:type="dxa"/>
              <w:right w:w="60" w:type="dxa"/>
            </w:tcMar>
          </w:tcPr>
          <w:p>
            <w:pPr>
              <w:spacing w:line="240" w:lineRule="auto" w:after="40" w:before="40"/>
              <w:jc w:val="right"/>
            </w:pPr>
            <w:r>
              <w:rPr>
                <w:sz w:val="15"/>
              </w:rPr>
              <w:t>175,6</w:t>
            </w:r>
          </w:p>
        </w:tc>
        <w:tc>
          <w:tcPr>
            <w:tcW w:type="dxa" w:w="851"/>
            <w:tcMar>
              <w:top w:w="50" w:type="dxa"/>
              <w:bottom w:w="50" w:type="dxa"/>
              <w:left w:w="60" w:type="dxa"/>
              <w:right w:w="60" w:type="dxa"/>
            </w:tcMar>
          </w:tcPr>
          <w:p>
            <w:pPr>
              <w:spacing w:line="240" w:lineRule="auto" w:after="40" w:before="40"/>
              <w:jc w:val="right"/>
            </w:pPr>
            <w:r>
              <w:rPr>
                <w:sz w:val="15"/>
              </w:rPr>
              <w:t>3.750</w:t>
            </w:r>
          </w:p>
        </w:tc>
        <w:tc>
          <w:tcPr>
            <w:tcW w:type="dxa" w:w="851"/>
            <w:tcMar>
              <w:top w:w="50" w:type="dxa"/>
              <w:bottom w:w="50" w:type="dxa"/>
              <w:left w:w="60" w:type="dxa"/>
              <w:right w:w="60" w:type="dxa"/>
            </w:tcMar>
          </w:tcPr>
          <w:p>
            <w:pPr>
              <w:spacing w:line="240" w:lineRule="auto" w:after="40" w:before="40"/>
              <w:jc w:val="right"/>
            </w:pPr>
            <w:r>
              <w:rPr>
                <w:sz w:val="15"/>
              </w:rPr>
              <w:t>1,50x</w:t>
            </w:r>
          </w:p>
        </w:tc>
        <w:tc>
          <w:tcPr>
            <w:tcW w:type="dxa" w:w="851"/>
            <w:tcMar>
              <w:top w:w="50" w:type="dxa"/>
              <w:bottom w:w="50" w:type="dxa"/>
              <w:left w:w="60" w:type="dxa"/>
              <w:right w:w="60" w:type="dxa"/>
            </w:tcMar>
          </w:tcPr>
          <w:p>
            <w:pPr>
              <w:spacing w:line="240" w:lineRule="auto" w:after="40" w:before="40"/>
              <w:jc w:val="right"/>
            </w:pPr>
            <w:r>
              <w:rPr>
                <w:sz w:val="15"/>
              </w:rPr>
              <w:t>10,5%</w:t>
            </w:r>
          </w:p>
        </w:tc>
        <w:tc>
          <w:tcPr>
            <w:tcW w:type="dxa" w:w="851"/>
            <w:tcMar>
              <w:top w:w="50" w:type="dxa"/>
              <w:bottom w:w="50" w:type="dxa"/>
              <w:left w:w="60" w:type="dxa"/>
              <w:right w:w="60" w:type="dxa"/>
            </w:tcMar>
          </w:tcPr>
          <w:p>
            <w:pPr>
              <w:spacing w:line="240" w:lineRule="auto" w:after="40" w:before="40"/>
              <w:jc w:val="right"/>
            </w:pPr>
            <w:r>
              <w:rPr>
                <w:sz w:val="15"/>
              </w:rPr>
              <w:t>12,5%</w:t>
            </w:r>
          </w:p>
        </w:tc>
      </w:tr>
      <w:tr>
        <w:tc>
          <w:tcPr>
            <w:tcW w:type="dxa" w:w="851"/>
            <w:tcMar>
              <w:top w:w="50" w:type="dxa"/>
              <w:bottom w:w="50" w:type="dxa"/>
              <w:left w:w="60" w:type="dxa"/>
              <w:right w:w="60" w:type="dxa"/>
            </w:tcMar>
          </w:tcPr>
          <w:p>
            <w:pPr>
              <w:spacing w:line="240" w:lineRule="auto" w:after="40" w:before="40"/>
              <w:jc w:val="left"/>
            </w:pPr>
            <w:r>
              <w:rPr>
                <w:sz w:val="15"/>
              </w:rPr>
              <w:t>Ano 7</w:t>
            </w:r>
          </w:p>
        </w:tc>
        <w:tc>
          <w:tcPr>
            <w:tcW w:type="dxa" w:w="851"/>
            <w:tcMar>
              <w:top w:w="50" w:type="dxa"/>
              <w:bottom w:w="50" w:type="dxa"/>
              <w:left w:w="60" w:type="dxa"/>
              <w:right w:w="60" w:type="dxa"/>
            </w:tcMar>
          </w:tcPr>
          <w:p>
            <w:pPr>
              <w:spacing w:line="240" w:lineRule="auto" w:after="40" w:before="40"/>
              <w:jc w:val="right"/>
            </w:pPr>
            <w:r>
              <w:rPr>
                <w:sz w:val="15"/>
              </w:rPr>
              <w:t>2.500</w:t>
            </w:r>
          </w:p>
        </w:tc>
        <w:tc>
          <w:tcPr>
            <w:tcW w:type="dxa" w:w="851"/>
            <w:tcMar>
              <w:top w:w="50" w:type="dxa"/>
              <w:bottom w:w="50" w:type="dxa"/>
              <w:left w:w="60" w:type="dxa"/>
              <w:right w:w="60" w:type="dxa"/>
            </w:tcMar>
          </w:tcPr>
          <w:p>
            <w:pPr>
              <w:spacing w:line="240" w:lineRule="auto" w:after="40" w:before="40"/>
              <w:jc w:val="right"/>
            </w:pPr>
            <w:r>
              <w:rPr>
                <w:sz w:val="15"/>
              </w:rPr>
              <w:t>500</w:t>
            </w:r>
          </w:p>
        </w:tc>
        <w:tc>
          <w:tcPr>
            <w:tcW w:type="dxa" w:w="851"/>
            <w:tcMar>
              <w:top w:w="50" w:type="dxa"/>
              <w:bottom w:w="50" w:type="dxa"/>
              <w:left w:w="60" w:type="dxa"/>
              <w:right w:w="60" w:type="dxa"/>
            </w:tcMar>
          </w:tcPr>
          <w:p>
            <w:pPr>
              <w:spacing w:line="240" w:lineRule="auto" w:after="40" w:before="40"/>
              <w:jc w:val="right"/>
            </w:pPr>
            <w:r>
              <w:rPr>
                <w:sz w:val="15"/>
              </w:rPr>
              <w:t>752</w:t>
            </w:r>
          </w:p>
        </w:tc>
        <w:tc>
          <w:tcPr>
            <w:tcW w:type="dxa" w:w="851"/>
            <w:tcMar>
              <w:top w:w="50" w:type="dxa"/>
              <w:bottom w:w="50" w:type="dxa"/>
              <w:left w:w="60" w:type="dxa"/>
              <w:right w:w="60" w:type="dxa"/>
            </w:tcMar>
          </w:tcPr>
          <w:p>
            <w:pPr>
              <w:spacing w:line="240" w:lineRule="auto" w:after="40" w:before="40"/>
              <w:jc w:val="right"/>
            </w:pPr>
            <w:r>
              <w:rPr>
                <w:sz w:val="15"/>
              </w:rPr>
              <w:t>85,7</w:t>
            </w:r>
          </w:p>
        </w:tc>
        <w:tc>
          <w:tcPr>
            <w:tcW w:type="dxa" w:w="851"/>
            <w:tcMar>
              <w:top w:w="50" w:type="dxa"/>
              <w:bottom w:w="50" w:type="dxa"/>
              <w:left w:w="60" w:type="dxa"/>
              <w:right w:w="60" w:type="dxa"/>
            </w:tcMar>
          </w:tcPr>
          <w:p>
            <w:pPr>
              <w:spacing w:line="240" w:lineRule="auto" w:after="40" w:before="40"/>
              <w:jc w:val="right"/>
            </w:pPr>
            <w:r>
              <w:rPr>
                <w:sz w:val="15"/>
              </w:rPr>
              <w:t>126,0</w:t>
            </w:r>
          </w:p>
        </w:tc>
        <w:tc>
          <w:tcPr>
            <w:tcW w:type="dxa" w:w="851"/>
            <w:tcMar>
              <w:top w:w="50" w:type="dxa"/>
              <w:bottom w:w="50" w:type="dxa"/>
              <w:left w:w="60" w:type="dxa"/>
              <w:right w:w="60" w:type="dxa"/>
            </w:tcMar>
          </w:tcPr>
          <w:p>
            <w:pPr>
              <w:spacing w:line="240" w:lineRule="auto" w:after="40" w:before="40"/>
              <w:jc w:val="right"/>
            </w:pPr>
            <w:r>
              <w:rPr>
                <w:sz w:val="15"/>
              </w:rPr>
              <w:t>211,7</w:t>
            </w:r>
          </w:p>
        </w:tc>
        <w:tc>
          <w:tcPr>
            <w:tcW w:type="dxa" w:w="851"/>
            <w:tcMar>
              <w:top w:w="50" w:type="dxa"/>
              <w:bottom w:w="50" w:type="dxa"/>
              <w:left w:w="60" w:type="dxa"/>
              <w:right w:w="60" w:type="dxa"/>
            </w:tcMar>
          </w:tcPr>
          <w:p>
            <w:pPr>
              <w:spacing w:line="240" w:lineRule="auto" w:after="40" w:before="40"/>
              <w:jc w:val="right"/>
            </w:pPr>
            <w:r>
              <w:rPr>
                <w:sz w:val="15"/>
              </w:rPr>
              <w:t>4.301</w:t>
            </w:r>
          </w:p>
        </w:tc>
        <w:tc>
          <w:tcPr>
            <w:tcW w:type="dxa" w:w="851"/>
            <w:tcMar>
              <w:top w:w="50" w:type="dxa"/>
              <w:bottom w:w="50" w:type="dxa"/>
              <w:left w:w="60" w:type="dxa"/>
              <w:right w:w="60" w:type="dxa"/>
            </w:tcMar>
          </w:tcPr>
          <w:p>
            <w:pPr>
              <w:spacing w:line="240" w:lineRule="auto" w:after="40" w:before="40"/>
              <w:jc w:val="right"/>
            </w:pPr>
            <w:r>
              <w:rPr>
                <w:sz w:val="15"/>
              </w:rPr>
              <w:t>1,72x</w:t>
            </w:r>
          </w:p>
        </w:tc>
        <w:tc>
          <w:tcPr>
            <w:tcW w:type="dxa" w:w="851"/>
            <w:tcMar>
              <w:top w:w="50" w:type="dxa"/>
              <w:bottom w:w="50" w:type="dxa"/>
              <w:left w:w="60" w:type="dxa"/>
              <w:right w:w="60" w:type="dxa"/>
            </w:tcMar>
          </w:tcPr>
          <w:p>
            <w:pPr>
              <w:spacing w:line="240" w:lineRule="auto" w:after="40" w:before="40"/>
              <w:jc w:val="right"/>
            </w:pPr>
            <w:r>
              <w:rPr>
                <w:sz w:val="15"/>
              </w:rPr>
              <w:t>11,2%</w:t>
            </w:r>
          </w:p>
        </w:tc>
        <w:tc>
          <w:tcPr>
            <w:tcW w:type="dxa" w:w="851"/>
            <w:tcMar>
              <w:top w:w="50" w:type="dxa"/>
              <w:bottom w:w="50" w:type="dxa"/>
              <w:left w:w="60" w:type="dxa"/>
              <w:right w:w="60" w:type="dxa"/>
            </w:tcMar>
          </w:tcPr>
          <w:p>
            <w:pPr>
              <w:spacing w:line="240" w:lineRule="auto" w:after="40" w:before="40"/>
              <w:jc w:val="right"/>
            </w:pPr>
            <w:r>
              <w:rPr>
                <w:sz w:val="15"/>
              </w:rPr>
              <w:t>13,0%</w:t>
            </w:r>
          </w:p>
        </w:tc>
      </w:tr>
      <w:tr>
        <w:tc>
          <w:tcPr>
            <w:tcW w:type="dxa" w:w="851"/>
            <w:tcMar>
              <w:top w:w="50" w:type="dxa"/>
              <w:bottom w:w="50" w:type="dxa"/>
              <w:left w:w="60" w:type="dxa"/>
              <w:right w:w="60" w:type="dxa"/>
            </w:tcMar>
          </w:tcPr>
          <w:p>
            <w:pPr>
              <w:spacing w:line="240" w:lineRule="auto" w:after="40" w:before="40"/>
              <w:jc w:val="left"/>
            </w:pPr>
            <w:r>
              <w:rPr>
                <w:sz w:val="15"/>
              </w:rPr>
              <w:t>Ano 8</w:t>
            </w:r>
          </w:p>
        </w:tc>
        <w:tc>
          <w:tcPr>
            <w:tcW w:type="dxa" w:w="851"/>
            <w:tcMar>
              <w:top w:w="50" w:type="dxa"/>
              <w:bottom w:w="50" w:type="dxa"/>
              <w:left w:w="60" w:type="dxa"/>
              <w:right w:w="60" w:type="dxa"/>
            </w:tcMar>
          </w:tcPr>
          <w:p>
            <w:pPr>
              <w:spacing w:line="240" w:lineRule="auto" w:after="40" w:before="40"/>
              <w:jc w:val="right"/>
            </w:pPr>
            <w:r>
              <w:rPr>
                <w:sz w:val="15"/>
              </w:rPr>
              <w:t>2.500</w:t>
            </w:r>
          </w:p>
        </w:tc>
        <w:tc>
          <w:tcPr>
            <w:tcW w:type="dxa" w:w="851"/>
            <w:tcMar>
              <w:top w:w="50" w:type="dxa"/>
              <w:bottom w:w="50" w:type="dxa"/>
              <w:left w:w="60" w:type="dxa"/>
              <w:right w:w="60" w:type="dxa"/>
            </w:tcMar>
          </w:tcPr>
          <w:p>
            <w:pPr>
              <w:spacing w:line="240" w:lineRule="auto" w:after="40" w:before="40"/>
              <w:jc w:val="right"/>
            </w:pPr>
            <w:r>
              <w:rPr>
                <w:sz w:val="15"/>
              </w:rPr>
              <w:t>500</w:t>
            </w:r>
          </w:p>
        </w:tc>
        <w:tc>
          <w:tcPr>
            <w:tcW w:type="dxa" w:w="851"/>
            <w:tcMar>
              <w:top w:w="50" w:type="dxa"/>
              <w:bottom w:w="50" w:type="dxa"/>
              <w:left w:w="60" w:type="dxa"/>
              <w:right w:w="60" w:type="dxa"/>
            </w:tcMar>
          </w:tcPr>
          <w:p>
            <w:pPr>
              <w:spacing w:line="240" w:lineRule="auto" w:after="40" w:before="40"/>
              <w:jc w:val="right"/>
            </w:pPr>
            <w:r>
              <w:rPr>
                <w:sz w:val="15"/>
              </w:rPr>
              <w:t>797</w:t>
            </w:r>
          </w:p>
        </w:tc>
        <w:tc>
          <w:tcPr>
            <w:tcW w:type="dxa" w:w="851"/>
            <w:tcMar>
              <w:top w:w="50" w:type="dxa"/>
              <w:bottom w:w="50" w:type="dxa"/>
              <w:left w:w="60" w:type="dxa"/>
              <w:right w:w="60" w:type="dxa"/>
            </w:tcMar>
          </w:tcPr>
          <w:p>
            <w:pPr>
              <w:spacing w:line="240" w:lineRule="auto" w:after="40" w:before="40"/>
              <w:jc w:val="right"/>
            </w:pPr>
            <w:r>
              <w:rPr>
                <w:sz w:val="15"/>
              </w:rPr>
              <w:t>101,0</w:t>
            </w:r>
          </w:p>
        </w:tc>
        <w:tc>
          <w:tcPr>
            <w:tcW w:type="dxa" w:w="851"/>
            <w:tcMar>
              <w:top w:w="50" w:type="dxa"/>
              <w:bottom w:w="50" w:type="dxa"/>
              <w:left w:w="60" w:type="dxa"/>
              <w:right w:w="60" w:type="dxa"/>
            </w:tcMar>
          </w:tcPr>
          <w:p>
            <w:pPr>
              <w:spacing w:line="240" w:lineRule="auto" w:after="40" w:before="40"/>
              <w:jc w:val="right"/>
            </w:pPr>
            <w:r>
              <w:rPr>
                <w:sz w:val="15"/>
              </w:rPr>
              <w:t>148,5</w:t>
            </w:r>
          </w:p>
        </w:tc>
        <w:tc>
          <w:tcPr>
            <w:tcW w:type="dxa" w:w="851"/>
            <w:tcMar>
              <w:top w:w="50" w:type="dxa"/>
              <w:bottom w:w="50" w:type="dxa"/>
              <w:left w:w="60" w:type="dxa"/>
              <w:right w:w="60" w:type="dxa"/>
            </w:tcMar>
          </w:tcPr>
          <w:p>
            <w:pPr>
              <w:spacing w:line="240" w:lineRule="auto" w:after="40" w:before="40"/>
              <w:jc w:val="right"/>
            </w:pPr>
            <w:r>
              <w:rPr>
                <w:sz w:val="15"/>
              </w:rPr>
              <w:t>249,5</w:t>
            </w:r>
          </w:p>
        </w:tc>
        <w:tc>
          <w:tcPr>
            <w:tcW w:type="dxa" w:w="851"/>
            <w:tcMar>
              <w:top w:w="50" w:type="dxa"/>
              <w:bottom w:w="50" w:type="dxa"/>
              <w:left w:w="60" w:type="dxa"/>
              <w:right w:w="60" w:type="dxa"/>
            </w:tcMar>
          </w:tcPr>
          <w:p>
            <w:pPr>
              <w:spacing w:line="240" w:lineRule="auto" w:after="40" w:before="40"/>
              <w:jc w:val="right"/>
            </w:pPr>
            <w:r>
              <w:rPr>
                <w:sz w:val="15"/>
              </w:rPr>
              <w:t>4.943</w:t>
            </w:r>
          </w:p>
        </w:tc>
        <w:tc>
          <w:tcPr>
            <w:tcW w:type="dxa" w:w="851"/>
            <w:tcMar>
              <w:top w:w="50" w:type="dxa"/>
              <w:bottom w:w="50" w:type="dxa"/>
              <w:left w:w="60" w:type="dxa"/>
              <w:right w:w="60" w:type="dxa"/>
            </w:tcMar>
          </w:tcPr>
          <w:p>
            <w:pPr>
              <w:spacing w:line="240" w:lineRule="auto" w:after="40" w:before="40"/>
              <w:jc w:val="right"/>
            </w:pPr>
            <w:r>
              <w:rPr>
                <w:sz w:val="15"/>
              </w:rPr>
              <w:t>1,98x</w:t>
            </w:r>
          </w:p>
        </w:tc>
        <w:tc>
          <w:tcPr>
            <w:tcW w:type="dxa" w:w="851"/>
            <w:tcMar>
              <w:top w:w="50" w:type="dxa"/>
              <w:bottom w:w="50" w:type="dxa"/>
              <w:left w:w="60" w:type="dxa"/>
              <w:right w:w="60" w:type="dxa"/>
            </w:tcMar>
          </w:tcPr>
          <w:p>
            <w:pPr>
              <w:spacing w:line="240" w:lineRule="auto" w:after="40" w:before="40"/>
              <w:jc w:val="right"/>
            </w:pPr>
            <w:r>
              <w:rPr>
                <w:sz w:val="15"/>
              </w:rPr>
              <w:t>12,0%</w:t>
            </w:r>
          </w:p>
        </w:tc>
        <w:tc>
          <w:tcPr>
            <w:tcW w:type="dxa" w:w="851"/>
            <w:tcMar>
              <w:top w:w="50" w:type="dxa"/>
              <w:bottom w:w="50" w:type="dxa"/>
              <w:left w:w="60" w:type="dxa"/>
              <w:right w:w="60" w:type="dxa"/>
            </w:tcMar>
          </w:tcPr>
          <w:p>
            <w:pPr>
              <w:spacing w:line="240" w:lineRule="auto" w:after="40" w:before="40"/>
              <w:jc w:val="right"/>
            </w:pPr>
            <w:r>
              <w:rPr>
                <w:sz w:val="15"/>
              </w:rPr>
              <w:t>13,6%</w:t>
            </w:r>
          </w:p>
        </w:tc>
      </w:tr>
      <w:tr>
        <w:tc>
          <w:tcPr>
            <w:tcW w:type="dxa" w:w="851"/>
            <w:tcMar>
              <w:top w:w="50" w:type="dxa"/>
              <w:bottom w:w="50" w:type="dxa"/>
              <w:left w:w="60" w:type="dxa"/>
              <w:right w:w="60" w:type="dxa"/>
            </w:tcMar>
          </w:tcPr>
          <w:p>
            <w:pPr>
              <w:spacing w:line="240" w:lineRule="auto" w:after="40" w:before="40"/>
              <w:jc w:val="left"/>
            </w:pPr>
            <w:r>
              <w:rPr>
                <w:sz w:val="15"/>
              </w:rPr>
              <w:t>Ano 9</w:t>
            </w:r>
          </w:p>
        </w:tc>
        <w:tc>
          <w:tcPr>
            <w:tcW w:type="dxa" w:w="851"/>
            <w:tcMar>
              <w:top w:w="50" w:type="dxa"/>
              <w:bottom w:w="50" w:type="dxa"/>
              <w:left w:w="60" w:type="dxa"/>
              <w:right w:w="60" w:type="dxa"/>
            </w:tcMar>
          </w:tcPr>
          <w:p>
            <w:pPr>
              <w:spacing w:line="240" w:lineRule="auto" w:after="40" w:before="40"/>
              <w:jc w:val="right"/>
            </w:pPr>
            <w:r>
              <w:rPr>
                <w:sz w:val="15"/>
              </w:rPr>
              <w:t>2.500</w:t>
            </w:r>
          </w:p>
        </w:tc>
        <w:tc>
          <w:tcPr>
            <w:tcW w:type="dxa" w:w="851"/>
            <w:tcMar>
              <w:top w:w="50" w:type="dxa"/>
              <w:bottom w:w="50" w:type="dxa"/>
              <w:left w:w="60" w:type="dxa"/>
              <w:right w:w="60" w:type="dxa"/>
            </w:tcMar>
          </w:tcPr>
          <w:p>
            <w:pPr>
              <w:spacing w:line="240" w:lineRule="auto" w:after="40" w:before="40"/>
              <w:jc w:val="right"/>
            </w:pPr>
            <w:r>
              <w:rPr>
                <w:sz w:val="15"/>
              </w:rPr>
              <w:t>500</w:t>
            </w:r>
          </w:p>
        </w:tc>
        <w:tc>
          <w:tcPr>
            <w:tcW w:type="dxa" w:w="851"/>
            <w:tcMar>
              <w:top w:w="50" w:type="dxa"/>
              <w:bottom w:w="50" w:type="dxa"/>
              <w:left w:w="60" w:type="dxa"/>
              <w:right w:w="60" w:type="dxa"/>
            </w:tcMar>
          </w:tcPr>
          <w:p>
            <w:pPr>
              <w:spacing w:line="240" w:lineRule="auto" w:after="40" w:before="40"/>
              <w:jc w:val="right"/>
            </w:pPr>
            <w:r>
              <w:rPr>
                <w:sz w:val="15"/>
              </w:rPr>
              <w:t>845</w:t>
            </w:r>
          </w:p>
        </w:tc>
        <w:tc>
          <w:tcPr>
            <w:tcW w:type="dxa" w:w="851"/>
            <w:tcMar>
              <w:top w:w="50" w:type="dxa"/>
              <w:bottom w:w="50" w:type="dxa"/>
              <w:left w:w="60" w:type="dxa"/>
              <w:right w:w="60" w:type="dxa"/>
            </w:tcMar>
          </w:tcPr>
          <w:p>
            <w:pPr>
              <w:spacing w:line="240" w:lineRule="auto" w:after="40" w:before="40"/>
              <w:jc w:val="right"/>
            </w:pPr>
            <w:r>
              <w:rPr>
                <w:sz w:val="15"/>
              </w:rPr>
              <w:t>117,3</w:t>
            </w:r>
          </w:p>
        </w:tc>
        <w:tc>
          <w:tcPr>
            <w:tcW w:type="dxa" w:w="851"/>
            <w:tcMar>
              <w:top w:w="50" w:type="dxa"/>
              <w:bottom w:w="50" w:type="dxa"/>
              <w:left w:w="60" w:type="dxa"/>
              <w:right w:w="60" w:type="dxa"/>
            </w:tcMar>
          </w:tcPr>
          <w:p>
            <w:pPr>
              <w:spacing w:line="240" w:lineRule="auto" w:after="40" w:before="40"/>
              <w:jc w:val="right"/>
            </w:pPr>
            <w:r>
              <w:rPr>
                <w:sz w:val="15"/>
              </w:rPr>
              <w:t>172,5</w:t>
            </w:r>
          </w:p>
        </w:tc>
        <w:tc>
          <w:tcPr>
            <w:tcW w:type="dxa" w:w="851"/>
            <w:tcMar>
              <w:top w:w="50" w:type="dxa"/>
              <w:bottom w:w="50" w:type="dxa"/>
              <w:left w:w="60" w:type="dxa"/>
              <w:right w:w="60" w:type="dxa"/>
            </w:tcMar>
          </w:tcPr>
          <w:p>
            <w:pPr>
              <w:spacing w:line="240" w:lineRule="auto" w:after="40" w:before="40"/>
              <w:jc w:val="right"/>
            </w:pPr>
            <w:r>
              <w:rPr>
                <w:sz w:val="15"/>
              </w:rPr>
              <w:t>289,8</w:t>
            </w:r>
          </w:p>
        </w:tc>
        <w:tc>
          <w:tcPr>
            <w:tcW w:type="dxa" w:w="851"/>
            <w:tcMar>
              <w:top w:w="50" w:type="dxa"/>
              <w:bottom w:w="50" w:type="dxa"/>
              <w:left w:w="60" w:type="dxa"/>
              <w:right w:w="60" w:type="dxa"/>
            </w:tcMar>
          </w:tcPr>
          <w:p>
            <w:pPr>
              <w:spacing w:line="240" w:lineRule="auto" w:after="40" w:before="40"/>
              <w:jc w:val="right"/>
            </w:pPr>
            <w:r>
              <w:rPr>
                <w:sz w:val="15"/>
              </w:rPr>
              <w:t>5.686</w:t>
            </w:r>
          </w:p>
        </w:tc>
        <w:tc>
          <w:tcPr>
            <w:tcW w:type="dxa" w:w="851"/>
            <w:tcMar>
              <w:top w:w="50" w:type="dxa"/>
              <w:bottom w:w="50" w:type="dxa"/>
              <w:left w:w="60" w:type="dxa"/>
              <w:right w:w="60" w:type="dxa"/>
            </w:tcMar>
          </w:tcPr>
          <w:p>
            <w:pPr>
              <w:spacing w:line="240" w:lineRule="auto" w:after="40" w:before="40"/>
              <w:jc w:val="right"/>
            </w:pPr>
            <w:r>
              <w:rPr>
                <w:sz w:val="15"/>
              </w:rPr>
              <w:t>2,27x</w:t>
            </w:r>
          </w:p>
        </w:tc>
        <w:tc>
          <w:tcPr>
            <w:tcW w:type="dxa" w:w="851"/>
            <w:tcMar>
              <w:top w:w="50" w:type="dxa"/>
              <w:bottom w:w="50" w:type="dxa"/>
              <w:left w:w="60" w:type="dxa"/>
              <w:right w:w="60" w:type="dxa"/>
            </w:tcMar>
          </w:tcPr>
          <w:p>
            <w:pPr>
              <w:spacing w:line="240" w:lineRule="auto" w:after="40" w:before="40"/>
              <w:jc w:val="right"/>
            </w:pPr>
            <w:r>
              <w:rPr>
                <w:sz w:val="15"/>
              </w:rPr>
              <w:t>13,0%</w:t>
            </w:r>
          </w:p>
        </w:tc>
        <w:tc>
          <w:tcPr>
            <w:tcW w:type="dxa" w:w="851"/>
            <w:tcMar>
              <w:top w:w="50" w:type="dxa"/>
              <w:bottom w:w="50" w:type="dxa"/>
              <w:left w:w="60" w:type="dxa"/>
              <w:right w:w="60" w:type="dxa"/>
            </w:tcMar>
          </w:tcPr>
          <w:p>
            <w:pPr>
              <w:spacing w:line="240" w:lineRule="auto" w:after="40" w:before="40"/>
              <w:jc w:val="right"/>
            </w:pPr>
            <w:r>
              <w:rPr>
                <w:sz w:val="15"/>
              </w:rPr>
              <w:t>14,2%</w:t>
            </w:r>
          </w:p>
        </w:tc>
      </w:tr>
      <w:tr>
        <w:tc>
          <w:tcPr>
            <w:tcW w:type="dxa" w:w="851"/>
            <w:tcMar>
              <w:top w:w="50" w:type="dxa"/>
              <w:bottom w:w="50" w:type="dxa"/>
              <w:left w:w="60" w:type="dxa"/>
              <w:right w:w="60" w:type="dxa"/>
            </w:tcMar>
          </w:tcPr>
          <w:p>
            <w:pPr>
              <w:spacing w:line="240" w:lineRule="auto" w:after="40" w:before="40"/>
              <w:jc w:val="left"/>
            </w:pPr>
            <w:r>
              <w:rPr>
                <w:sz w:val="15"/>
              </w:rPr>
              <w:t>Ano 10</w:t>
            </w:r>
          </w:p>
        </w:tc>
        <w:tc>
          <w:tcPr>
            <w:tcW w:type="dxa" w:w="851"/>
            <w:tcMar>
              <w:top w:w="50" w:type="dxa"/>
              <w:bottom w:w="50" w:type="dxa"/>
              <w:left w:w="60" w:type="dxa"/>
              <w:right w:w="60" w:type="dxa"/>
            </w:tcMar>
          </w:tcPr>
          <w:p>
            <w:pPr>
              <w:spacing w:line="240" w:lineRule="auto" w:after="40" w:before="40"/>
              <w:jc w:val="right"/>
            </w:pPr>
            <w:r>
              <w:rPr>
                <w:sz w:val="15"/>
              </w:rPr>
              <w:t>2.500</w:t>
            </w:r>
          </w:p>
        </w:tc>
        <w:tc>
          <w:tcPr>
            <w:tcW w:type="dxa" w:w="851"/>
            <w:tcMar>
              <w:top w:w="50" w:type="dxa"/>
              <w:bottom w:w="50" w:type="dxa"/>
              <w:left w:w="60" w:type="dxa"/>
              <w:right w:w="60" w:type="dxa"/>
            </w:tcMar>
          </w:tcPr>
          <w:p>
            <w:pPr>
              <w:spacing w:line="240" w:lineRule="auto" w:after="40" w:before="40"/>
              <w:jc w:val="right"/>
            </w:pPr>
            <w:r>
              <w:rPr>
                <w:sz w:val="15"/>
              </w:rPr>
              <w:t>500</w:t>
            </w:r>
          </w:p>
        </w:tc>
        <w:tc>
          <w:tcPr>
            <w:tcW w:type="dxa" w:w="851"/>
            <w:tcMar>
              <w:top w:w="50" w:type="dxa"/>
              <w:bottom w:w="50" w:type="dxa"/>
              <w:left w:w="60" w:type="dxa"/>
              <w:right w:w="60" w:type="dxa"/>
            </w:tcMar>
          </w:tcPr>
          <w:p>
            <w:pPr>
              <w:spacing w:line="240" w:lineRule="auto" w:after="40" w:before="40"/>
              <w:jc w:val="right"/>
            </w:pPr>
            <w:r>
              <w:rPr>
                <w:sz w:val="15"/>
              </w:rPr>
              <w:t>895</w:t>
            </w:r>
          </w:p>
        </w:tc>
        <w:tc>
          <w:tcPr>
            <w:tcW w:type="dxa" w:w="851"/>
            <w:tcMar>
              <w:top w:w="50" w:type="dxa"/>
              <w:bottom w:w="50" w:type="dxa"/>
              <w:left w:w="60" w:type="dxa"/>
              <w:right w:w="60" w:type="dxa"/>
            </w:tcMar>
          </w:tcPr>
          <w:p>
            <w:pPr>
              <w:spacing w:line="240" w:lineRule="auto" w:after="40" w:before="40"/>
              <w:jc w:val="right"/>
            </w:pPr>
            <w:r>
              <w:rPr>
                <w:sz w:val="15"/>
              </w:rPr>
              <w:t>134,3</w:t>
            </w:r>
          </w:p>
        </w:tc>
        <w:tc>
          <w:tcPr>
            <w:tcW w:type="dxa" w:w="851"/>
            <w:tcMar>
              <w:top w:w="50" w:type="dxa"/>
              <w:bottom w:w="50" w:type="dxa"/>
              <w:left w:w="60" w:type="dxa"/>
              <w:right w:w="60" w:type="dxa"/>
            </w:tcMar>
          </w:tcPr>
          <w:p>
            <w:pPr>
              <w:spacing w:line="240" w:lineRule="auto" w:after="40" w:before="40"/>
              <w:jc w:val="right"/>
            </w:pPr>
            <w:r>
              <w:rPr>
                <w:sz w:val="15"/>
              </w:rPr>
              <w:t>197,5</w:t>
            </w:r>
          </w:p>
        </w:tc>
        <w:tc>
          <w:tcPr>
            <w:tcW w:type="dxa" w:w="851"/>
            <w:tcMar>
              <w:top w:w="50" w:type="dxa"/>
              <w:bottom w:w="50" w:type="dxa"/>
              <w:left w:w="60" w:type="dxa"/>
              <w:right w:w="60" w:type="dxa"/>
            </w:tcMar>
          </w:tcPr>
          <w:p>
            <w:pPr>
              <w:spacing w:line="240" w:lineRule="auto" w:after="40" w:before="40"/>
              <w:jc w:val="right"/>
            </w:pPr>
            <w:r>
              <w:rPr>
                <w:sz w:val="15"/>
              </w:rPr>
              <w:t>331,8</w:t>
            </w:r>
          </w:p>
        </w:tc>
        <w:tc>
          <w:tcPr>
            <w:tcW w:type="dxa" w:w="851"/>
            <w:tcMar>
              <w:top w:w="50" w:type="dxa"/>
              <w:bottom w:w="50" w:type="dxa"/>
              <w:left w:w="60" w:type="dxa"/>
              <w:right w:w="60" w:type="dxa"/>
            </w:tcMar>
          </w:tcPr>
          <w:p>
            <w:pPr>
              <w:spacing w:line="240" w:lineRule="auto" w:after="40" w:before="40"/>
              <w:jc w:val="right"/>
            </w:pPr>
            <w:r>
              <w:rPr>
                <w:sz w:val="15"/>
              </w:rPr>
              <w:t>6.541</w:t>
            </w:r>
          </w:p>
        </w:tc>
        <w:tc>
          <w:tcPr>
            <w:tcW w:type="dxa" w:w="851"/>
            <w:tcMar>
              <w:top w:w="50" w:type="dxa"/>
              <w:bottom w:w="50" w:type="dxa"/>
              <w:left w:w="60" w:type="dxa"/>
              <w:right w:w="60" w:type="dxa"/>
            </w:tcMar>
          </w:tcPr>
          <w:p>
            <w:pPr>
              <w:spacing w:line="240" w:lineRule="auto" w:after="40" w:before="40"/>
              <w:jc w:val="right"/>
            </w:pPr>
            <w:r>
              <w:rPr>
                <w:sz w:val="15"/>
              </w:rPr>
              <w:t>2,62x</w:t>
            </w:r>
          </w:p>
        </w:tc>
        <w:tc>
          <w:tcPr>
            <w:tcW w:type="dxa" w:w="851"/>
            <w:tcMar>
              <w:top w:w="50" w:type="dxa"/>
              <w:bottom w:w="50" w:type="dxa"/>
              <w:left w:w="60" w:type="dxa"/>
              <w:right w:w="60" w:type="dxa"/>
            </w:tcMar>
          </w:tcPr>
          <w:p>
            <w:pPr>
              <w:spacing w:line="240" w:lineRule="auto" w:after="40" w:before="40"/>
              <w:jc w:val="right"/>
            </w:pPr>
            <w:r>
              <w:rPr>
                <w:sz w:val="15"/>
              </w:rPr>
              <w:t>14,2%</w:t>
            </w:r>
          </w:p>
        </w:tc>
        <w:tc>
          <w:tcPr>
            <w:tcW w:type="dxa" w:w="851"/>
            <w:tcMar>
              <w:top w:w="50" w:type="dxa"/>
              <w:bottom w:w="50" w:type="dxa"/>
              <w:left w:w="60" w:type="dxa"/>
              <w:right w:w="60" w:type="dxa"/>
            </w:tcMar>
          </w:tcPr>
          <w:p>
            <w:pPr>
              <w:spacing w:line="240" w:lineRule="auto" w:after="40" w:before="40"/>
              <w:jc w:val="right"/>
            </w:pPr>
            <w:r>
              <w:rPr>
                <w:sz w:val="15"/>
              </w:rPr>
              <w:t>14,9%</w:t>
            </w:r>
          </w:p>
        </w:tc>
      </w:tr>
      <w:tr>
        <w:tc>
          <w:tcPr>
            <w:tcW w:type="dxa" w:w="851"/>
            <w:shd w:fill="F2F2F2"/>
            <w:tcMar>
              <w:top w:w="50" w:type="dxa"/>
              <w:bottom w:w="50" w:type="dxa"/>
              <w:left w:w="60" w:type="dxa"/>
              <w:right w:w="60" w:type="dxa"/>
            </w:tcMar>
          </w:tcPr>
          <w:p>
            <w:pPr>
              <w:spacing w:line="240" w:lineRule="auto" w:after="40" w:before="40"/>
              <w:jc w:val="left"/>
            </w:pPr>
            <w:r>
              <w:rPr>
                <w:b/>
                <w:sz w:val="15"/>
              </w:rPr>
              <w:t>Total / Final</w:t>
            </w:r>
          </w:p>
        </w:tc>
        <w:tc>
          <w:tcPr>
            <w:tcW w:type="dxa" w:w="851"/>
            <w:shd w:fill="F2F2F2"/>
            <w:tcMar>
              <w:top w:w="50" w:type="dxa"/>
              <w:bottom w:w="50" w:type="dxa"/>
              <w:left w:w="60" w:type="dxa"/>
              <w:right w:w="60" w:type="dxa"/>
            </w:tcMar>
          </w:tcPr>
          <w:p>
            <w:pPr>
              <w:spacing w:line="240" w:lineRule="auto" w:after="40" w:before="40"/>
              <w:jc w:val="right"/>
            </w:pPr>
            <w:r>
              <w:rPr>
                <w:b/>
                <w:sz w:val="15"/>
              </w:rPr>
              <w:t>25.000</w:t>
            </w:r>
          </w:p>
        </w:tc>
        <w:tc>
          <w:tcPr>
            <w:tcW w:type="dxa" w:w="851"/>
            <w:shd w:fill="F2F2F2"/>
            <w:tcMar>
              <w:top w:w="50" w:type="dxa"/>
              <w:bottom w:w="50" w:type="dxa"/>
              <w:left w:w="60" w:type="dxa"/>
              <w:right w:w="60" w:type="dxa"/>
            </w:tcMar>
          </w:tcPr>
          <w:p>
            <w:pPr>
              <w:spacing w:line="240" w:lineRule="auto" w:after="40" w:before="40"/>
              <w:jc w:val="right"/>
            </w:pPr>
            <w:r>
              <w:rPr>
                <w:b/>
                <w:sz w:val="15"/>
              </w:rPr>
              <w:t>5.000</w:t>
            </w:r>
          </w:p>
        </w:tc>
        <w:tc>
          <w:tcPr>
            <w:tcW w:type="dxa" w:w="851"/>
            <w:shd w:fill="F2F2F2"/>
            <w:tcMar>
              <w:top w:w="50" w:type="dxa"/>
              <w:bottom w:w="50" w:type="dxa"/>
              <w:left w:w="60" w:type="dxa"/>
              <w:right w:w="60" w:type="dxa"/>
            </w:tcMar>
          </w:tcPr>
          <w:p>
            <w:pPr>
              <w:spacing w:line="240" w:lineRule="auto" w:after="40" w:before="40"/>
              <w:jc w:val="right"/>
            </w:pPr>
            <w:r>
              <w:rPr>
                <w:b/>
                <w:sz w:val="15"/>
              </w:rPr>
              <w:t>6.956</w:t>
            </w:r>
          </w:p>
        </w:tc>
        <w:tc>
          <w:tcPr>
            <w:tcW w:type="dxa" w:w="851"/>
            <w:shd w:fill="F2F2F2"/>
            <w:tcMar>
              <w:top w:w="50" w:type="dxa"/>
              <w:bottom w:w="50" w:type="dxa"/>
              <w:left w:w="60" w:type="dxa"/>
              <w:right w:w="60" w:type="dxa"/>
            </w:tcMar>
          </w:tcPr>
          <w:p>
            <w:pPr>
              <w:spacing w:line="240" w:lineRule="auto" w:after="40" w:before="40"/>
              <w:jc w:val="right"/>
            </w:pPr>
            <w:r>
              <w:rPr>
                <w:b/>
                <w:sz w:val="15"/>
              </w:rPr>
              <w:t>675,2</w:t>
            </w:r>
          </w:p>
        </w:tc>
        <w:tc>
          <w:tcPr>
            <w:tcW w:type="dxa" w:w="851"/>
            <w:shd w:fill="F2F2F2"/>
            <w:tcMar>
              <w:top w:w="50" w:type="dxa"/>
              <w:bottom w:w="50" w:type="dxa"/>
              <w:left w:w="60" w:type="dxa"/>
              <w:right w:w="60" w:type="dxa"/>
            </w:tcMar>
          </w:tcPr>
          <w:p>
            <w:pPr>
              <w:spacing w:line="240" w:lineRule="auto" w:after="40" w:before="40"/>
              <w:jc w:val="right"/>
            </w:pPr>
            <w:r>
              <w:rPr>
                <w:b/>
                <w:sz w:val="15"/>
              </w:rPr>
              <w:t>993,0</w:t>
            </w:r>
          </w:p>
        </w:tc>
        <w:tc>
          <w:tcPr>
            <w:tcW w:type="dxa" w:w="851"/>
            <w:shd w:fill="F2F2F2"/>
            <w:tcMar>
              <w:top w:w="50" w:type="dxa"/>
              <w:bottom w:w="50" w:type="dxa"/>
              <w:left w:w="60" w:type="dxa"/>
              <w:right w:w="60" w:type="dxa"/>
            </w:tcMar>
          </w:tcPr>
          <w:p>
            <w:pPr>
              <w:spacing w:line="240" w:lineRule="auto" w:after="40" w:before="40"/>
              <w:jc w:val="right"/>
            </w:pPr>
            <w:r>
              <w:rPr>
                <w:b/>
                <w:sz w:val="15"/>
              </w:rPr>
              <w:t>1.668,2</w:t>
            </w:r>
          </w:p>
        </w:tc>
        <w:tc>
          <w:tcPr>
            <w:tcW w:type="dxa" w:w="851"/>
            <w:shd w:fill="F2F2F2"/>
            <w:tcMar>
              <w:top w:w="50" w:type="dxa"/>
              <w:bottom w:w="50" w:type="dxa"/>
              <w:left w:w="60" w:type="dxa"/>
              <w:right w:w="60" w:type="dxa"/>
            </w:tcMar>
          </w:tcPr>
          <w:p>
            <w:pPr>
              <w:spacing w:line="240" w:lineRule="auto" w:after="40" w:before="40"/>
              <w:jc w:val="right"/>
            </w:pPr>
            <w:r>
              <w:rPr>
                <w:b/>
                <w:sz w:val="15"/>
              </w:rPr>
              <w:t>6.541</w:t>
            </w:r>
          </w:p>
        </w:tc>
        <w:tc>
          <w:tcPr>
            <w:tcW w:type="dxa" w:w="851"/>
            <w:shd w:fill="F2F2F2"/>
            <w:tcMar>
              <w:top w:w="50" w:type="dxa"/>
              <w:bottom w:w="50" w:type="dxa"/>
              <w:left w:w="60" w:type="dxa"/>
              <w:right w:w="60" w:type="dxa"/>
            </w:tcMar>
          </w:tcPr>
          <w:p>
            <w:pPr>
              <w:spacing w:line="240" w:lineRule="auto" w:after="40" w:before="40"/>
              <w:jc w:val="right"/>
            </w:pPr>
            <w:r>
              <w:rPr>
                <w:b/>
                <w:sz w:val="15"/>
              </w:rPr>
              <w:t>2,62x</w:t>
            </w:r>
          </w:p>
        </w:tc>
        <w:tc>
          <w:tcPr>
            <w:tcW w:type="dxa" w:w="851"/>
            <w:shd w:fill="F2F2F2"/>
            <w:tcMar>
              <w:top w:w="50" w:type="dxa"/>
              <w:bottom w:w="50" w:type="dxa"/>
              <w:left w:w="60" w:type="dxa"/>
              <w:right w:w="60" w:type="dxa"/>
            </w:tcMar>
          </w:tcPr>
          <w:p>
            <w:pPr>
              <w:spacing w:line="240" w:lineRule="auto" w:after="40" w:before="40"/>
              <w:jc w:val="right"/>
            </w:pPr>
            <w:r>
              <w:rPr>
                <w:b/>
                <w:sz w:val="15"/>
              </w:rPr>
              <w:t>14,2%</w:t>
            </w:r>
          </w:p>
        </w:tc>
        <w:tc>
          <w:tcPr>
            <w:tcW w:type="dxa" w:w="851"/>
            <w:shd w:fill="F2F2F2"/>
            <w:tcMar>
              <w:top w:w="50" w:type="dxa"/>
              <w:bottom w:w="50" w:type="dxa"/>
              <w:left w:w="60" w:type="dxa"/>
              <w:right w:w="60" w:type="dxa"/>
            </w:tcMar>
          </w:tcPr>
          <w:p>
            <w:pPr>
              <w:spacing w:line="240" w:lineRule="auto" w:after="40" w:before="40"/>
              <w:jc w:val="right"/>
            </w:pPr>
            <w:r>
              <w:rPr>
                <w:b/>
                <w:sz w:val="15"/>
              </w:rPr>
              <w:t>14,9%</w:t>
            </w:r>
          </w:p>
        </w:tc>
      </w:tr>
    </w:tbl>
    <w:p>
      <w:pPr>
        <w:spacing w:before="40" w:after="240"/>
      </w:pPr>
      <w:r>
        <w:rPr>
          <w:i/>
          <w:sz w:val="17"/>
        </w:rPr>
        <w:t>Fonte: Elaborada pelos autores a partir do modelo de simulação dinâmica intertemporal.</w:t>
      </w:r>
    </w:p>
    <w:p>
      <w:pPr>
        <w:spacing w:before="320" w:after="160" w:line="276" w:lineRule="auto"/>
      </w:pPr>
      <w:r>
        <w:rPr>
          <w:b/>
          <w:color w:val="000000"/>
          <w:sz w:val="26"/>
        </w:rPr>
        <w:t>4. Resultados e Discussão</w:t>
      </w:r>
    </w:p>
    <w:p>
      <w:pPr>
        <w:spacing w:before="240" w:after="80" w:line="276" w:lineRule="auto"/>
      </w:pPr>
      <w:r>
        <w:rPr>
          <w:b/>
          <w:color w:val="000000"/>
          <w:sz w:val="24"/>
        </w:rPr>
        <w:t>4.1 Caracterização do Imobilizado, Idade Média e Valores de Reposição</w:t>
      </w:r>
    </w:p>
    <w:p>
      <w:pPr>
        <w:spacing w:line="360" w:lineRule="auto" w:after="120"/>
        <w:jc w:val="both"/>
      </w:pPr>
      <w:r>
        <w:t>A aplicação do modelo quantitativo sobre o painel de 80 observações evidenciou a profunda longevidade e a magnitude financeira dos complexos operacionais das companhias da amostra. Conforme consolidado na Tabela 1, a idade média estimada do parque de imobilizado situou-se em torno de 7,6 a 7,8 anos, refletindo ativos industriais de maturidade elevada. Em termos de custo histórico, o imobilizado bruto médio anual agregado correspondeu a R$ 278,9 bilhões, enquanto o Valor de Reposição Econômico médio apurado pelo INCC atingiu R$ 507,6 bilhões, revelando uma subavaliação patrimonial estrutural média de 82,5%.</w:t>
      </w:r>
    </w:p>
    <w:p>
      <w:pPr>
        <w:spacing w:before="160" w:after="80"/>
      </w:pPr>
      <w:r>
        <w:rPr>
          <w:b/>
        </w:rPr>
        <w:t xml:space="preserve">Tabela 1. </w:t>
      </w:r>
      <w:r>
        <w:t>Médias anuais dos indicadores contábeis e ajustados por empresa (2016 a 2025)</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AEAEA"/>
            <w:tcMar>
              <w:top w:w="50" w:type="dxa"/>
              <w:bottom w:w="50" w:type="dxa"/>
              <w:left w:w="60" w:type="dxa"/>
              <w:right w:w="60" w:type="dxa"/>
            </w:tcMar>
          </w:tcPr>
          <w:p>
            <w:pPr>
              <w:spacing w:line="240" w:lineRule="auto" w:after="40" w:before="40"/>
              <w:jc w:val="center"/>
            </w:pPr>
            <w:r>
              <w:rPr>
                <w:b/>
                <w:sz w:val="16"/>
              </w:rPr>
              <w:t>Companhia</w:t>
            </w:r>
          </w:p>
        </w:tc>
        <w:tc>
          <w:tcPr>
            <w:tcW w:type="dxa" w:w="1040"/>
            <w:shd w:fill="EAEAEA"/>
            <w:tcMar>
              <w:top w:w="50" w:type="dxa"/>
              <w:bottom w:w="50" w:type="dxa"/>
              <w:left w:w="60" w:type="dxa"/>
              <w:right w:w="60" w:type="dxa"/>
            </w:tcMar>
          </w:tcPr>
          <w:p>
            <w:pPr>
              <w:spacing w:line="240" w:lineRule="auto" w:after="40" w:before="40"/>
              <w:jc w:val="center"/>
            </w:pPr>
            <w:r>
              <w:rPr>
                <w:b/>
                <w:sz w:val="16"/>
              </w:rPr>
              <w:t>Custo Bruto (R$ B)</w:t>
            </w:r>
          </w:p>
        </w:tc>
        <w:tc>
          <w:tcPr>
            <w:tcW w:type="dxa" w:w="1040"/>
            <w:shd w:fill="EAEAEA"/>
            <w:tcMar>
              <w:top w:w="50" w:type="dxa"/>
              <w:bottom w:w="50" w:type="dxa"/>
              <w:left w:w="60" w:type="dxa"/>
              <w:right w:w="60" w:type="dxa"/>
            </w:tcMar>
          </w:tcPr>
          <w:p>
            <w:pPr>
              <w:spacing w:line="240" w:lineRule="auto" w:after="40" w:before="40"/>
              <w:jc w:val="center"/>
            </w:pPr>
            <w:r>
              <w:rPr>
                <w:b/>
                <w:sz w:val="16"/>
              </w:rPr>
              <w:t>Val. Reposição INCC (R$ B)</w:t>
            </w:r>
          </w:p>
        </w:tc>
        <w:tc>
          <w:tcPr>
            <w:tcW w:type="dxa" w:w="1040"/>
            <w:shd w:fill="EAEAEA"/>
            <w:tcMar>
              <w:top w:w="50" w:type="dxa"/>
              <w:bottom w:w="50" w:type="dxa"/>
              <w:left w:w="60" w:type="dxa"/>
              <w:right w:w="60" w:type="dxa"/>
            </w:tcMar>
          </w:tcPr>
          <w:p>
            <w:pPr>
              <w:spacing w:line="240" w:lineRule="auto" w:after="40" w:before="40"/>
              <w:jc w:val="center"/>
            </w:pPr>
            <w:r>
              <w:rPr>
                <w:b/>
                <w:sz w:val="16"/>
              </w:rPr>
              <w:t>Deprec. Contábil (R$ B)</w:t>
            </w:r>
          </w:p>
        </w:tc>
        <w:tc>
          <w:tcPr>
            <w:tcW w:type="dxa" w:w="1040"/>
            <w:shd w:fill="EAEAEA"/>
            <w:tcMar>
              <w:top w:w="50" w:type="dxa"/>
              <w:bottom w:w="50" w:type="dxa"/>
              <w:left w:w="60" w:type="dxa"/>
              <w:right w:w="60" w:type="dxa"/>
            </w:tcMar>
          </w:tcPr>
          <w:p>
            <w:pPr>
              <w:spacing w:line="240" w:lineRule="auto" w:after="40" w:before="40"/>
              <w:jc w:val="center"/>
            </w:pPr>
            <w:r>
              <w:rPr>
                <w:b/>
                <w:sz w:val="16"/>
              </w:rPr>
              <w:t>Deprec. Ajustada (R$ B)</w:t>
            </w:r>
          </w:p>
        </w:tc>
        <w:tc>
          <w:tcPr>
            <w:tcW w:type="dxa" w:w="1040"/>
            <w:shd w:fill="EAEAEA"/>
            <w:tcMar>
              <w:top w:w="50" w:type="dxa"/>
              <w:bottom w:w="50" w:type="dxa"/>
              <w:left w:w="60" w:type="dxa"/>
              <w:right w:w="60" w:type="dxa"/>
            </w:tcMar>
          </w:tcPr>
          <w:p>
            <w:pPr>
              <w:spacing w:line="240" w:lineRule="auto" w:after="40" w:before="40"/>
              <w:jc w:val="center"/>
            </w:pPr>
            <w:r>
              <w:rPr>
                <w:b/>
                <w:sz w:val="16"/>
              </w:rPr>
              <w:t>Lucro Líq. Contábil (R$ B)</w:t>
            </w:r>
          </w:p>
        </w:tc>
        <w:tc>
          <w:tcPr>
            <w:tcW w:type="dxa" w:w="1040"/>
            <w:shd w:fill="EAEAEA"/>
            <w:tcMar>
              <w:top w:w="50" w:type="dxa"/>
              <w:bottom w:w="50" w:type="dxa"/>
              <w:left w:w="60" w:type="dxa"/>
              <w:right w:w="60" w:type="dxa"/>
            </w:tcMar>
          </w:tcPr>
          <w:p>
            <w:pPr>
              <w:spacing w:line="240" w:lineRule="auto" w:after="40" w:before="40"/>
              <w:jc w:val="center"/>
            </w:pPr>
            <w:r>
              <w:rPr>
                <w:b/>
                <w:sz w:val="16"/>
              </w:rPr>
              <w:t>Lucro Líq. Real (R$ B)</w:t>
            </w:r>
          </w:p>
        </w:tc>
        <w:tc>
          <w:tcPr>
            <w:tcW w:type="dxa" w:w="1040"/>
            <w:shd w:fill="EAEAEA"/>
            <w:tcMar>
              <w:top w:w="50" w:type="dxa"/>
              <w:bottom w:w="50" w:type="dxa"/>
              <w:left w:w="60" w:type="dxa"/>
              <w:right w:w="60" w:type="dxa"/>
            </w:tcMar>
          </w:tcPr>
          <w:p>
            <w:pPr>
              <w:spacing w:line="240" w:lineRule="auto" w:after="40" w:before="40"/>
              <w:jc w:val="center"/>
            </w:pPr>
            <w:r>
              <w:rPr>
                <w:b/>
                <w:sz w:val="16"/>
              </w:rPr>
              <w:t>Erosão Lucro (%)</w:t>
            </w:r>
          </w:p>
        </w:tc>
        <w:tc>
          <w:tcPr>
            <w:tcW w:type="dxa" w:w="1040"/>
            <w:shd w:fill="EAEAEA"/>
            <w:tcMar>
              <w:top w:w="50" w:type="dxa"/>
              <w:bottom w:w="50" w:type="dxa"/>
              <w:left w:w="60" w:type="dxa"/>
              <w:right w:w="60" w:type="dxa"/>
            </w:tcMar>
          </w:tcPr>
          <w:p>
            <w:pPr>
              <w:spacing w:line="240" w:lineRule="auto" w:after="40" w:before="40"/>
              <w:jc w:val="center"/>
            </w:pPr>
            <w:r>
              <w:rPr>
                <w:b/>
                <w:sz w:val="16"/>
              </w:rPr>
              <w:t>Alíq. Efetiva Real (%)</w:t>
            </w:r>
          </w:p>
        </w:tc>
      </w:tr>
      <w:tr>
        <w:tc>
          <w:tcPr>
            <w:tcW w:type="dxa" w:w="1040"/>
            <w:tcMar>
              <w:top w:w="50" w:type="dxa"/>
              <w:bottom w:w="50" w:type="dxa"/>
              <w:left w:w="60" w:type="dxa"/>
              <w:right w:w="60" w:type="dxa"/>
            </w:tcMar>
          </w:tcPr>
          <w:p>
            <w:pPr>
              <w:spacing w:line="240" w:lineRule="auto" w:after="40" w:before="40"/>
              <w:jc w:val="left"/>
            </w:pPr>
            <w:r>
              <w:rPr>
                <w:sz w:val="16"/>
              </w:rPr>
              <w:t>Petrobras</w:t>
            </w:r>
          </w:p>
        </w:tc>
        <w:tc>
          <w:tcPr>
            <w:tcW w:type="dxa" w:w="1040"/>
            <w:tcMar>
              <w:top w:w="50" w:type="dxa"/>
              <w:bottom w:w="50" w:type="dxa"/>
              <w:left w:w="60" w:type="dxa"/>
              <w:right w:w="60" w:type="dxa"/>
            </w:tcMar>
          </w:tcPr>
          <w:p>
            <w:pPr>
              <w:spacing w:line="240" w:lineRule="auto" w:after="40" w:before="40"/>
              <w:jc w:val="right"/>
            </w:pPr>
            <w:r>
              <w:rPr>
                <w:sz w:val="16"/>
              </w:rPr>
              <w:t>1.148,4</w:t>
            </w:r>
          </w:p>
        </w:tc>
        <w:tc>
          <w:tcPr>
            <w:tcW w:type="dxa" w:w="1040"/>
            <w:tcMar>
              <w:top w:w="50" w:type="dxa"/>
              <w:bottom w:w="50" w:type="dxa"/>
              <w:left w:w="60" w:type="dxa"/>
              <w:right w:w="60" w:type="dxa"/>
            </w:tcMar>
          </w:tcPr>
          <w:p>
            <w:pPr>
              <w:spacing w:line="240" w:lineRule="auto" w:after="40" w:before="40"/>
              <w:jc w:val="right"/>
            </w:pPr>
            <w:r>
              <w:rPr>
                <w:sz w:val="16"/>
              </w:rPr>
              <w:t>2.102,7</w:t>
            </w:r>
          </w:p>
        </w:tc>
        <w:tc>
          <w:tcPr>
            <w:tcW w:type="dxa" w:w="1040"/>
            <w:tcMar>
              <w:top w:w="50" w:type="dxa"/>
              <w:bottom w:w="50" w:type="dxa"/>
              <w:left w:w="60" w:type="dxa"/>
              <w:right w:w="60" w:type="dxa"/>
            </w:tcMar>
          </w:tcPr>
          <w:p>
            <w:pPr>
              <w:spacing w:line="240" w:lineRule="auto" w:after="40" w:before="40"/>
              <w:jc w:val="right"/>
            </w:pPr>
            <w:r>
              <w:rPr>
                <w:sz w:val="16"/>
              </w:rPr>
              <w:t>51,0</w:t>
            </w:r>
          </w:p>
        </w:tc>
        <w:tc>
          <w:tcPr>
            <w:tcW w:type="dxa" w:w="1040"/>
            <w:tcMar>
              <w:top w:w="50" w:type="dxa"/>
              <w:bottom w:w="50" w:type="dxa"/>
              <w:left w:w="60" w:type="dxa"/>
              <w:right w:w="60" w:type="dxa"/>
            </w:tcMar>
          </w:tcPr>
          <w:p>
            <w:pPr>
              <w:spacing w:line="240" w:lineRule="auto" w:after="40" w:before="40"/>
              <w:jc w:val="right"/>
            </w:pPr>
            <w:r>
              <w:rPr>
                <w:sz w:val="16"/>
              </w:rPr>
              <w:t>93,4</w:t>
            </w:r>
          </w:p>
        </w:tc>
        <w:tc>
          <w:tcPr>
            <w:tcW w:type="dxa" w:w="1040"/>
            <w:tcMar>
              <w:top w:w="50" w:type="dxa"/>
              <w:bottom w:w="50" w:type="dxa"/>
              <w:left w:w="60" w:type="dxa"/>
              <w:right w:w="60" w:type="dxa"/>
            </w:tcMar>
          </w:tcPr>
          <w:p>
            <w:pPr>
              <w:spacing w:line="240" w:lineRule="auto" w:after="40" w:before="40"/>
              <w:jc w:val="right"/>
            </w:pPr>
            <w:r>
              <w:rPr>
                <w:sz w:val="16"/>
              </w:rPr>
              <w:t>76,7</w:t>
            </w:r>
          </w:p>
        </w:tc>
        <w:tc>
          <w:tcPr>
            <w:tcW w:type="dxa" w:w="1040"/>
            <w:tcMar>
              <w:top w:w="50" w:type="dxa"/>
              <w:bottom w:w="50" w:type="dxa"/>
              <w:left w:w="60" w:type="dxa"/>
              <w:right w:w="60" w:type="dxa"/>
            </w:tcMar>
          </w:tcPr>
          <w:p>
            <w:pPr>
              <w:spacing w:line="240" w:lineRule="auto" w:after="40" w:before="40"/>
              <w:jc w:val="right"/>
            </w:pPr>
            <w:r>
              <w:rPr>
                <w:sz w:val="16"/>
              </w:rPr>
              <w:t>34,4</w:t>
            </w:r>
          </w:p>
        </w:tc>
        <w:tc>
          <w:tcPr>
            <w:tcW w:type="dxa" w:w="1040"/>
            <w:tcMar>
              <w:top w:w="50" w:type="dxa"/>
              <w:bottom w:w="50" w:type="dxa"/>
              <w:left w:w="60" w:type="dxa"/>
              <w:right w:w="60" w:type="dxa"/>
            </w:tcMar>
          </w:tcPr>
          <w:p>
            <w:pPr>
              <w:spacing w:line="240" w:lineRule="auto" w:after="40" w:before="40"/>
              <w:jc w:val="right"/>
            </w:pPr>
            <w:r>
              <w:rPr>
                <w:sz w:val="16"/>
              </w:rPr>
              <w:t>53,5%</w:t>
            </w:r>
          </w:p>
        </w:tc>
        <w:tc>
          <w:tcPr>
            <w:tcW w:type="dxa" w:w="1040"/>
            <w:tcMar>
              <w:top w:w="50" w:type="dxa"/>
              <w:bottom w:w="50" w:type="dxa"/>
              <w:left w:w="60" w:type="dxa"/>
              <w:right w:w="60" w:type="dxa"/>
            </w:tcMar>
          </w:tcPr>
          <w:p>
            <w:pPr>
              <w:spacing w:line="240" w:lineRule="auto" w:after="40" w:before="40"/>
              <w:jc w:val="right"/>
            </w:pPr>
            <w:r>
              <w:rPr>
                <w:sz w:val="16"/>
              </w:rPr>
              <w:t>54,4%</w:t>
            </w:r>
          </w:p>
        </w:tc>
      </w:tr>
      <w:tr>
        <w:tc>
          <w:tcPr>
            <w:tcW w:type="dxa" w:w="1040"/>
            <w:tcMar>
              <w:top w:w="50" w:type="dxa"/>
              <w:bottom w:w="50" w:type="dxa"/>
              <w:left w:w="60" w:type="dxa"/>
              <w:right w:w="60" w:type="dxa"/>
            </w:tcMar>
          </w:tcPr>
          <w:p>
            <w:pPr>
              <w:spacing w:line="240" w:lineRule="auto" w:after="40" w:before="40"/>
              <w:jc w:val="left"/>
            </w:pPr>
            <w:r>
              <w:rPr>
                <w:sz w:val="16"/>
              </w:rPr>
              <w:t>Vale</w:t>
            </w:r>
          </w:p>
        </w:tc>
        <w:tc>
          <w:tcPr>
            <w:tcW w:type="dxa" w:w="1040"/>
            <w:tcMar>
              <w:top w:w="50" w:type="dxa"/>
              <w:bottom w:w="50" w:type="dxa"/>
              <w:left w:w="60" w:type="dxa"/>
              <w:right w:w="60" w:type="dxa"/>
            </w:tcMar>
          </w:tcPr>
          <w:p>
            <w:pPr>
              <w:spacing w:line="240" w:lineRule="auto" w:after="40" w:before="40"/>
              <w:jc w:val="right"/>
            </w:pPr>
            <w:r>
              <w:rPr>
                <w:sz w:val="16"/>
              </w:rPr>
              <w:t>543,7</w:t>
            </w:r>
          </w:p>
        </w:tc>
        <w:tc>
          <w:tcPr>
            <w:tcW w:type="dxa" w:w="1040"/>
            <w:tcMar>
              <w:top w:w="50" w:type="dxa"/>
              <w:bottom w:w="50" w:type="dxa"/>
              <w:left w:w="60" w:type="dxa"/>
              <w:right w:w="60" w:type="dxa"/>
            </w:tcMar>
          </w:tcPr>
          <w:p>
            <w:pPr>
              <w:spacing w:line="240" w:lineRule="auto" w:after="40" w:before="40"/>
              <w:jc w:val="right"/>
            </w:pPr>
            <w:r>
              <w:rPr>
                <w:sz w:val="16"/>
              </w:rPr>
              <w:t>981,2</w:t>
            </w:r>
          </w:p>
        </w:tc>
        <w:tc>
          <w:tcPr>
            <w:tcW w:type="dxa" w:w="1040"/>
            <w:tcMar>
              <w:top w:w="50" w:type="dxa"/>
              <w:bottom w:w="50" w:type="dxa"/>
              <w:left w:w="60" w:type="dxa"/>
              <w:right w:w="60" w:type="dxa"/>
            </w:tcMar>
          </w:tcPr>
          <w:p>
            <w:pPr>
              <w:spacing w:line="240" w:lineRule="auto" w:after="40" w:before="40"/>
              <w:jc w:val="right"/>
            </w:pPr>
            <w:r>
              <w:rPr>
                <w:sz w:val="16"/>
              </w:rPr>
              <w:t>21,8</w:t>
            </w:r>
          </w:p>
        </w:tc>
        <w:tc>
          <w:tcPr>
            <w:tcW w:type="dxa" w:w="1040"/>
            <w:tcMar>
              <w:top w:w="50" w:type="dxa"/>
              <w:bottom w:w="50" w:type="dxa"/>
              <w:left w:w="60" w:type="dxa"/>
              <w:right w:w="60" w:type="dxa"/>
            </w:tcMar>
          </w:tcPr>
          <w:p>
            <w:pPr>
              <w:spacing w:line="240" w:lineRule="auto" w:after="40" w:before="40"/>
              <w:jc w:val="right"/>
            </w:pPr>
            <w:r>
              <w:rPr>
                <w:sz w:val="16"/>
              </w:rPr>
              <w:t>39,3</w:t>
            </w:r>
          </w:p>
        </w:tc>
        <w:tc>
          <w:tcPr>
            <w:tcW w:type="dxa" w:w="1040"/>
            <w:tcMar>
              <w:top w:w="50" w:type="dxa"/>
              <w:bottom w:w="50" w:type="dxa"/>
              <w:left w:w="60" w:type="dxa"/>
              <w:right w:w="60" w:type="dxa"/>
            </w:tcMar>
          </w:tcPr>
          <w:p>
            <w:pPr>
              <w:spacing w:line="240" w:lineRule="auto" w:after="40" w:before="40"/>
              <w:jc w:val="right"/>
            </w:pPr>
            <w:r>
              <w:rPr>
                <w:sz w:val="16"/>
              </w:rPr>
              <w:t>40,2</w:t>
            </w:r>
          </w:p>
        </w:tc>
        <w:tc>
          <w:tcPr>
            <w:tcW w:type="dxa" w:w="1040"/>
            <w:tcMar>
              <w:top w:w="50" w:type="dxa"/>
              <w:bottom w:w="50" w:type="dxa"/>
              <w:left w:w="60" w:type="dxa"/>
              <w:right w:w="60" w:type="dxa"/>
            </w:tcMar>
          </w:tcPr>
          <w:p>
            <w:pPr>
              <w:spacing w:line="240" w:lineRule="auto" w:after="40" w:before="40"/>
              <w:jc w:val="right"/>
            </w:pPr>
            <w:r>
              <w:rPr>
                <w:sz w:val="16"/>
              </w:rPr>
              <w:t>22,6</w:t>
            </w:r>
          </w:p>
        </w:tc>
        <w:tc>
          <w:tcPr>
            <w:tcW w:type="dxa" w:w="1040"/>
            <w:tcMar>
              <w:top w:w="50" w:type="dxa"/>
              <w:bottom w:w="50" w:type="dxa"/>
              <w:left w:w="60" w:type="dxa"/>
              <w:right w:w="60" w:type="dxa"/>
            </w:tcMar>
          </w:tcPr>
          <w:p>
            <w:pPr>
              <w:spacing w:line="240" w:lineRule="auto" w:after="40" w:before="40"/>
              <w:jc w:val="right"/>
            </w:pPr>
            <w:r>
              <w:rPr>
                <w:sz w:val="16"/>
              </w:rPr>
              <w:t>42,3%</w:t>
            </w:r>
          </w:p>
        </w:tc>
        <w:tc>
          <w:tcPr>
            <w:tcW w:type="dxa" w:w="1040"/>
            <w:tcMar>
              <w:top w:w="50" w:type="dxa"/>
              <w:bottom w:w="50" w:type="dxa"/>
              <w:left w:w="60" w:type="dxa"/>
              <w:right w:w="60" w:type="dxa"/>
            </w:tcMar>
          </w:tcPr>
          <w:p>
            <w:pPr>
              <w:spacing w:line="240" w:lineRule="auto" w:after="40" w:before="40"/>
              <w:jc w:val="right"/>
            </w:pPr>
            <w:r>
              <w:rPr>
                <w:sz w:val="16"/>
              </w:rPr>
              <w:t>48,0%</w:t>
            </w:r>
          </w:p>
        </w:tc>
      </w:tr>
      <w:tr>
        <w:tc>
          <w:tcPr>
            <w:tcW w:type="dxa" w:w="1040"/>
            <w:tcMar>
              <w:top w:w="50" w:type="dxa"/>
              <w:bottom w:w="50" w:type="dxa"/>
              <w:left w:w="60" w:type="dxa"/>
              <w:right w:w="60" w:type="dxa"/>
            </w:tcMar>
          </w:tcPr>
          <w:p>
            <w:pPr>
              <w:spacing w:line="240" w:lineRule="auto" w:after="40" w:before="40"/>
              <w:jc w:val="left"/>
            </w:pPr>
            <w:r>
              <w:rPr>
                <w:sz w:val="16"/>
              </w:rPr>
              <w:t>Eletrobras</w:t>
            </w:r>
          </w:p>
        </w:tc>
        <w:tc>
          <w:tcPr>
            <w:tcW w:type="dxa" w:w="1040"/>
            <w:tcMar>
              <w:top w:w="50" w:type="dxa"/>
              <w:bottom w:w="50" w:type="dxa"/>
              <w:left w:w="60" w:type="dxa"/>
              <w:right w:w="60" w:type="dxa"/>
            </w:tcMar>
          </w:tcPr>
          <w:p>
            <w:pPr>
              <w:spacing w:line="240" w:lineRule="auto" w:after="40" w:before="40"/>
              <w:jc w:val="right"/>
            </w:pPr>
            <w:r>
              <w:rPr>
                <w:sz w:val="16"/>
              </w:rPr>
              <w:t>217,4</w:t>
            </w:r>
          </w:p>
        </w:tc>
        <w:tc>
          <w:tcPr>
            <w:tcW w:type="dxa" w:w="1040"/>
            <w:tcMar>
              <w:top w:w="50" w:type="dxa"/>
              <w:bottom w:w="50" w:type="dxa"/>
              <w:left w:w="60" w:type="dxa"/>
              <w:right w:w="60" w:type="dxa"/>
            </w:tcMar>
          </w:tcPr>
          <w:p>
            <w:pPr>
              <w:spacing w:line="240" w:lineRule="auto" w:after="40" w:before="40"/>
              <w:jc w:val="right"/>
            </w:pPr>
            <w:r>
              <w:rPr>
                <w:sz w:val="16"/>
              </w:rPr>
              <w:t>395,9</w:t>
            </w:r>
          </w:p>
        </w:tc>
        <w:tc>
          <w:tcPr>
            <w:tcW w:type="dxa" w:w="1040"/>
            <w:tcMar>
              <w:top w:w="50" w:type="dxa"/>
              <w:bottom w:w="50" w:type="dxa"/>
              <w:left w:w="60" w:type="dxa"/>
              <w:right w:w="60" w:type="dxa"/>
            </w:tcMar>
          </w:tcPr>
          <w:p>
            <w:pPr>
              <w:spacing w:line="240" w:lineRule="auto" w:after="40" w:before="40"/>
              <w:jc w:val="right"/>
            </w:pPr>
            <w:r>
              <w:rPr>
                <w:sz w:val="16"/>
              </w:rPr>
              <w:t>6,4</w:t>
            </w:r>
          </w:p>
        </w:tc>
        <w:tc>
          <w:tcPr>
            <w:tcW w:type="dxa" w:w="1040"/>
            <w:tcMar>
              <w:top w:w="50" w:type="dxa"/>
              <w:bottom w:w="50" w:type="dxa"/>
              <w:left w:w="60" w:type="dxa"/>
              <w:right w:w="60" w:type="dxa"/>
            </w:tcMar>
          </w:tcPr>
          <w:p>
            <w:pPr>
              <w:spacing w:line="240" w:lineRule="auto" w:after="40" w:before="40"/>
              <w:jc w:val="right"/>
            </w:pPr>
            <w:r>
              <w:rPr>
                <w:sz w:val="16"/>
              </w:rPr>
              <w:t>11,6</w:t>
            </w:r>
          </w:p>
        </w:tc>
        <w:tc>
          <w:tcPr>
            <w:tcW w:type="dxa" w:w="1040"/>
            <w:tcMar>
              <w:top w:w="50" w:type="dxa"/>
              <w:bottom w:w="50" w:type="dxa"/>
              <w:left w:w="60" w:type="dxa"/>
              <w:right w:w="60" w:type="dxa"/>
            </w:tcMar>
          </w:tcPr>
          <w:p>
            <w:pPr>
              <w:spacing w:line="240" w:lineRule="auto" w:after="40" w:before="40"/>
              <w:jc w:val="right"/>
            </w:pPr>
            <w:r>
              <w:rPr>
                <w:sz w:val="16"/>
              </w:rPr>
              <w:t>12,7</w:t>
            </w:r>
          </w:p>
        </w:tc>
        <w:tc>
          <w:tcPr>
            <w:tcW w:type="dxa" w:w="1040"/>
            <w:tcMar>
              <w:top w:w="50" w:type="dxa"/>
              <w:bottom w:w="50" w:type="dxa"/>
              <w:left w:w="60" w:type="dxa"/>
              <w:right w:w="60" w:type="dxa"/>
            </w:tcMar>
          </w:tcPr>
          <w:p>
            <w:pPr>
              <w:spacing w:line="240" w:lineRule="auto" w:after="40" w:before="40"/>
              <w:jc w:val="right"/>
            </w:pPr>
            <w:r>
              <w:rPr>
                <w:sz w:val="16"/>
              </w:rPr>
              <w:t>7,4</w:t>
            </w:r>
          </w:p>
        </w:tc>
        <w:tc>
          <w:tcPr>
            <w:tcW w:type="dxa" w:w="1040"/>
            <w:tcMar>
              <w:top w:w="50" w:type="dxa"/>
              <w:bottom w:w="50" w:type="dxa"/>
              <w:left w:w="60" w:type="dxa"/>
              <w:right w:w="60" w:type="dxa"/>
            </w:tcMar>
          </w:tcPr>
          <w:p>
            <w:pPr>
              <w:spacing w:line="240" w:lineRule="auto" w:after="40" w:before="40"/>
              <w:jc w:val="right"/>
            </w:pPr>
            <w:r>
              <w:rPr>
                <w:sz w:val="16"/>
              </w:rPr>
              <w:t>40,0%</w:t>
            </w:r>
          </w:p>
        </w:tc>
        <w:tc>
          <w:tcPr>
            <w:tcW w:type="dxa" w:w="1040"/>
            <w:tcMar>
              <w:top w:w="50" w:type="dxa"/>
              <w:bottom w:w="50" w:type="dxa"/>
              <w:left w:w="60" w:type="dxa"/>
              <w:right w:w="60" w:type="dxa"/>
            </w:tcMar>
          </w:tcPr>
          <w:p>
            <w:pPr>
              <w:spacing w:line="240" w:lineRule="auto" w:after="40" w:before="40"/>
              <w:jc w:val="right"/>
            </w:pPr>
            <w:r>
              <w:rPr>
                <w:sz w:val="16"/>
              </w:rPr>
              <w:t>46,9%</w:t>
            </w:r>
          </w:p>
        </w:tc>
      </w:tr>
      <w:tr>
        <w:tc>
          <w:tcPr>
            <w:tcW w:type="dxa" w:w="1040"/>
            <w:tcMar>
              <w:top w:w="50" w:type="dxa"/>
              <w:bottom w:w="50" w:type="dxa"/>
              <w:left w:w="60" w:type="dxa"/>
              <w:right w:w="60" w:type="dxa"/>
            </w:tcMar>
          </w:tcPr>
          <w:p>
            <w:pPr>
              <w:spacing w:line="240" w:lineRule="auto" w:after="40" w:before="40"/>
              <w:jc w:val="left"/>
            </w:pPr>
            <w:r>
              <w:rPr>
                <w:sz w:val="16"/>
              </w:rPr>
              <w:t>Suzano</w:t>
            </w:r>
          </w:p>
        </w:tc>
        <w:tc>
          <w:tcPr>
            <w:tcW w:type="dxa" w:w="1040"/>
            <w:tcMar>
              <w:top w:w="50" w:type="dxa"/>
              <w:bottom w:w="50" w:type="dxa"/>
              <w:left w:w="60" w:type="dxa"/>
              <w:right w:w="60" w:type="dxa"/>
            </w:tcMar>
          </w:tcPr>
          <w:p>
            <w:pPr>
              <w:spacing w:line="240" w:lineRule="auto" w:after="40" w:before="40"/>
              <w:jc w:val="right"/>
            </w:pPr>
            <w:r>
              <w:rPr>
                <w:sz w:val="16"/>
              </w:rPr>
              <w:t>111,4</w:t>
            </w:r>
          </w:p>
        </w:tc>
        <w:tc>
          <w:tcPr>
            <w:tcW w:type="dxa" w:w="1040"/>
            <w:tcMar>
              <w:top w:w="50" w:type="dxa"/>
              <w:bottom w:w="50" w:type="dxa"/>
              <w:left w:w="60" w:type="dxa"/>
              <w:right w:w="60" w:type="dxa"/>
            </w:tcMar>
          </w:tcPr>
          <w:p>
            <w:pPr>
              <w:spacing w:line="240" w:lineRule="auto" w:after="40" w:before="40"/>
              <w:jc w:val="right"/>
            </w:pPr>
            <w:r>
              <w:rPr>
                <w:sz w:val="16"/>
              </w:rPr>
              <w:t>202,1</w:t>
            </w:r>
          </w:p>
        </w:tc>
        <w:tc>
          <w:tcPr>
            <w:tcW w:type="dxa" w:w="1040"/>
            <w:tcMar>
              <w:top w:w="50" w:type="dxa"/>
              <w:bottom w:w="50" w:type="dxa"/>
              <w:left w:w="60" w:type="dxa"/>
              <w:right w:w="60" w:type="dxa"/>
            </w:tcMar>
          </w:tcPr>
          <w:p>
            <w:pPr>
              <w:spacing w:line="240" w:lineRule="auto" w:after="40" w:before="40"/>
              <w:jc w:val="right"/>
            </w:pPr>
            <w:r>
              <w:rPr>
                <w:sz w:val="16"/>
              </w:rPr>
              <w:t>3,9</w:t>
            </w:r>
          </w:p>
        </w:tc>
        <w:tc>
          <w:tcPr>
            <w:tcW w:type="dxa" w:w="1040"/>
            <w:tcMar>
              <w:top w:w="50" w:type="dxa"/>
              <w:bottom w:w="50" w:type="dxa"/>
              <w:left w:w="60" w:type="dxa"/>
              <w:right w:w="60" w:type="dxa"/>
            </w:tcMar>
          </w:tcPr>
          <w:p>
            <w:pPr>
              <w:spacing w:line="240" w:lineRule="auto" w:after="40" w:before="40"/>
              <w:jc w:val="right"/>
            </w:pPr>
            <w:r>
              <w:rPr>
                <w:sz w:val="16"/>
              </w:rPr>
              <w:t>7,2</w:t>
            </w:r>
          </w:p>
        </w:tc>
        <w:tc>
          <w:tcPr>
            <w:tcW w:type="dxa" w:w="1040"/>
            <w:tcMar>
              <w:top w:w="50" w:type="dxa"/>
              <w:bottom w:w="50" w:type="dxa"/>
              <w:left w:w="60" w:type="dxa"/>
              <w:right w:w="60" w:type="dxa"/>
            </w:tcMar>
          </w:tcPr>
          <w:p>
            <w:pPr>
              <w:spacing w:line="240" w:lineRule="auto" w:after="40" w:before="40"/>
              <w:jc w:val="right"/>
            </w:pPr>
            <w:r>
              <w:rPr>
                <w:sz w:val="16"/>
              </w:rPr>
              <w:t>5,9</w:t>
            </w:r>
          </w:p>
        </w:tc>
        <w:tc>
          <w:tcPr>
            <w:tcW w:type="dxa" w:w="1040"/>
            <w:tcMar>
              <w:top w:w="50" w:type="dxa"/>
              <w:bottom w:w="50" w:type="dxa"/>
              <w:left w:w="60" w:type="dxa"/>
              <w:right w:w="60" w:type="dxa"/>
            </w:tcMar>
          </w:tcPr>
          <w:p>
            <w:pPr>
              <w:spacing w:line="240" w:lineRule="auto" w:after="40" w:before="40"/>
              <w:jc w:val="right"/>
            </w:pPr>
            <w:r>
              <w:rPr>
                <w:sz w:val="16"/>
              </w:rPr>
              <w:t>2,7</w:t>
            </w:r>
          </w:p>
        </w:tc>
        <w:tc>
          <w:tcPr>
            <w:tcW w:type="dxa" w:w="1040"/>
            <w:tcMar>
              <w:top w:w="50" w:type="dxa"/>
              <w:bottom w:w="50" w:type="dxa"/>
              <w:left w:w="60" w:type="dxa"/>
              <w:right w:w="60" w:type="dxa"/>
            </w:tcMar>
          </w:tcPr>
          <w:p>
            <w:pPr>
              <w:spacing w:line="240" w:lineRule="auto" w:after="40" w:before="40"/>
              <w:jc w:val="right"/>
            </w:pPr>
            <w:r>
              <w:rPr>
                <w:sz w:val="16"/>
              </w:rPr>
              <w:t>52,3%</w:t>
            </w:r>
          </w:p>
        </w:tc>
        <w:tc>
          <w:tcPr>
            <w:tcW w:type="dxa" w:w="1040"/>
            <w:tcMar>
              <w:top w:w="50" w:type="dxa"/>
              <w:bottom w:w="50" w:type="dxa"/>
              <w:left w:w="60" w:type="dxa"/>
              <w:right w:w="60" w:type="dxa"/>
            </w:tcMar>
          </w:tcPr>
          <w:p>
            <w:pPr>
              <w:spacing w:line="240" w:lineRule="auto" w:after="40" w:before="40"/>
              <w:jc w:val="right"/>
            </w:pPr>
            <w:r>
              <w:rPr>
                <w:sz w:val="16"/>
              </w:rPr>
              <w:t>53,4%</w:t>
            </w:r>
          </w:p>
        </w:tc>
      </w:tr>
      <w:tr>
        <w:tc>
          <w:tcPr>
            <w:tcW w:type="dxa" w:w="1040"/>
            <w:tcMar>
              <w:top w:w="50" w:type="dxa"/>
              <w:bottom w:w="50" w:type="dxa"/>
              <w:left w:w="60" w:type="dxa"/>
              <w:right w:w="60" w:type="dxa"/>
            </w:tcMar>
          </w:tcPr>
          <w:p>
            <w:pPr>
              <w:spacing w:line="240" w:lineRule="auto" w:after="40" w:before="40"/>
              <w:jc w:val="left"/>
            </w:pPr>
            <w:r>
              <w:rPr>
                <w:sz w:val="16"/>
              </w:rPr>
              <w:t>Gerdau</w:t>
            </w:r>
          </w:p>
        </w:tc>
        <w:tc>
          <w:tcPr>
            <w:tcW w:type="dxa" w:w="1040"/>
            <w:tcMar>
              <w:top w:w="50" w:type="dxa"/>
              <w:bottom w:w="50" w:type="dxa"/>
              <w:left w:w="60" w:type="dxa"/>
              <w:right w:w="60" w:type="dxa"/>
            </w:tcMar>
          </w:tcPr>
          <w:p>
            <w:pPr>
              <w:spacing w:line="240" w:lineRule="auto" w:after="40" w:before="40"/>
              <w:jc w:val="right"/>
            </w:pPr>
            <w:r>
              <w:rPr>
                <w:sz w:val="16"/>
              </w:rPr>
              <w:t>78,4</w:t>
            </w:r>
          </w:p>
        </w:tc>
        <w:tc>
          <w:tcPr>
            <w:tcW w:type="dxa" w:w="1040"/>
            <w:tcMar>
              <w:top w:w="50" w:type="dxa"/>
              <w:bottom w:w="50" w:type="dxa"/>
              <w:left w:w="60" w:type="dxa"/>
              <w:right w:w="60" w:type="dxa"/>
            </w:tcMar>
          </w:tcPr>
          <w:p>
            <w:pPr>
              <w:spacing w:line="240" w:lineRule="auto" w:after="40" w:before="40"/>
              <w:jc w:val="right"/>
            </w:pPr>
            <w:r>
              <w:rPr>
                <w:sz w:val="16"/>
              </w:rPr>
              <w:t>142,3</w:t>
            </w:r>
          </w:p>
        </w:tc>
        <w:tc>
          <w:tcPr>
            <w:tcW w:type="dxa" w:w="1040"/>
            <w:tcMar>
              <w:top w:w="50" w:type="dxa"/>
              <w:bottom w:w="50" w:type="dxa"/>
              <w:left w:w="60" w:type="dxa"/>
              <w:right w:w="60" w:type="dxa"/>
            </w:tcMar>
          </w:tcPr>
          <w:p>
            <w:pPr>
              <w:spacing w:line="240" w:lineRule="auto" w:after="40" w:before="40"/>
              <w:jc w:val="right"/>
            </w:pPr>
            <w:r>
              <w:rPr>
                <w:sz w:val="16"/>
              </w:rPr>
              <w:t>3,9</w:t>
            </w:r>
          </w:p>
        </w:tc>
        <w:tc>
          <w:tcPr>
            <w:tcW w:type="dxa" w:w="1040"/>
            <w:tcMar>
              <w:top w:w="50" w:type="dxa"/>
              <w:bottom w:w="50" w:type="dxa"/>
              <w:left w:w="60" w:type="dxa"/>
              <w:right w:w="60" w:type="dxa"/>
            </w:tcMar>
          </w:tcPr>
          <w:p>
            <w:pPr>
              <w:spacing w:line="240" w:lineRule="auto" w:after="40" w:before="40"/>
              <w:jc w:val="right"/>
            </w:pPr>
            <w:r>
              <w:rPr>
                <w:sz w:val="16"/>
              </w:rPr>
              <w:t>7,0</w:t>
            </w:r>
          </w:p>
        </w:tc>
        <w:tc>
          <w:tcPr>
            <w:tcW w:type="dxa" w:w="1040"/>
            <w:tcMar>
              <w:top w:w="50" w:type="dxa"/>
              <w:bottom w:w="50" w:type="dxa"/>
              <w:left w:w="60" w:type="dxa"/>
              <w:right w:w="60" w:type="dxa"/>
            </w:tcMar>
          </w:tcPr>
          <w:p>
            <w:pPr>
              <w:spacing w:line="240" w:lineRule="auto" w:after="40" w:before="40"/>
              <w:jc w:val="right"/>
            </w:pPr>
            <w:r>
              <w:rPr>
                <w:sz w:val="16"/>
              </w:rPr>
              <w:t>3,4</w:t>
            </w:r>
          </w:p>
        </w:tc>
        <w:tc>
          <w:tcPr>
            <w:tcW w:type="dxa" w:w="1040"/>
            <w:tcMar>
              <w:top w:w="50" w:type="dxa"/>
              <w:bottom w:w="50" w:type="dxa"/>
              <w:left w:w="60" w:type="dxa"/>
              <w:right w:w="60" w:type="dxa"/>
            </w:tcMar>
          </w:tcPr>
          <w:p>
            <w:pPr>
              <w:spacing w:line="240" w:lineRule="auto" w:after="40" w:before="40"/>
              <w:jc w:val="right"/>
            </w:pPr>
            <w:r>
              <w:rPr>
                <w:sz w:val="16"/>
              </w:rPr>
              <w:t>0,24</w:t>
            </w:r>
          </w:p>
        </w:tc>
        <w:tc>
          <w:tcPr>
            <w:tcW w:type="dxa" w:w="1040"/>
            <w:tcMar>
              <w:top w:w="50" w:type="dxa"/>
              <w:bottom w:w="50" w:type="dxa"/>
              <w:left w:w="60" w:type="dxa"/>
              <w:right w:w="60" w:type="dxa"/>
            </w:tcMar>
          </w:tcPr>
          <w:p>
            <w:pPr>
              <w:spacing w:line="240" w:lineRule="auto" w:after="40" w:before="40"/>
              <w:jc w:val="right"/>
            </w:pPr>
            <w:r>
              <w:rPr>
                <w:sz w:val="16"/>
              </w:rPr>
              <w:t>89,7%</w:t>
            </w:r>
          </w:p>
        </w:tc>
        <w:tc>
          <w:tcPr>
            <w:tcW w:type="dxa" w:w="1040"/>
            <w:tcMar>
              <w:top w:w="50" w:type="dxa"/>
              <w:bottom w:w="50" w:type="dxa"/>
              <w:left w:w="60" w:type="dxa"/>
              <w:right w:w="60" w:type="dxa"/>
            </w:tcMar>
          </w:tcPr>
          <w:p>
            <w:pPr>
              <w:spacing w:line="240" w:lineRule="auto" w:after="40" w:before="40"/>
              <w:jc w:val="right"/>
            </w:pPr>
            <w:r>
              <w:rPr>
                <w:sz w:val="16"/>
              </w:rPr>
              <w:t>106,8%</w:t>
            </w:r>
          </w:p>
        </w:tc>
      </w:tr>
      <w:tr>
        <w:tc>
          <w:tcPr>
            <w:tcW w:type="dxa" w:w="1040"/>
            <w:tcMar>
              <w:top w:w="50" w:type="dxa"/>
              <w:bottom w:w="50" w:type="dxa"/>
              <w:left w:w="60" w:type="dxa"/>
              <w:right w:w="60" w:type="dxa"/>
            </w:tcMar>
          </w:tcPr>
          <w:p>
            <w:pPr>
              <w:spacing w:line="240" w:lineRule="auto" w:after="40" w:before="40"/>
              <w:jc w:val="left"/>
            </w:pPr>
            <w:r>
              <w:rPr>
                <w:sz w:val="16"/>
              </w:rPr>
              <w:t>CSN</w:t>
            </w:r>
          </w:p>
        </w:tc>
        <w:tc>
          <w:tcPr>
            <w:tcW w:type="dxa" w:w="1040"/>
            <w:tcMar>
              <w:top w:w="50" w:type="dxa"/>
              <w:bottom w:w="50" w:type="dxa"/>
              <w:left w:w="60" w:type="dxa"/>
              <w:right w:w="60" w:type="dxa"/>
            </w:tcMar>
          </w:tcPr>
          <w:p>
            <w:pPr>
              <w:spacing w:line="240" w:lineRule="auto" w:after="40" w:before="40"/>
              <w:jc w:val="right"/>
            </w:pPr>
            <w:r>
              <w:rPr>
                <w:sz w:val="16"/>
              </w:rPr>
              <w:t>69,9</w:t>
            </w:r>
          </w:p>
        </w:tc>
        <w:tc>
          <w:tcPr>
            <w:tcW w:type="dxa" w:w="1040"/>
            <w:tcMar>
              <w:top w:w="50" w:type="dxa"/>
              <w:bottom w:w="50" w:type="dxa"/>
              <w:left w:w="60" w:type="dxa"/>
              <w:right w:w="60" w:type="dxa"/>
            </w:tcMar>
          </w:tcPr>
          <w:p>
            <w:pPr>
              <w:spacing w:line="240" w:lineRule="auto" w:after="40" w:before="40"/>
              <w:jc w:val="right"/>
            </w:pPr>
            <w:r>
              <w:rPr>
                <w:sz w:val="16"/>
              </w:rPr>
              <w:t>125,7</w:t>
            </w:r>
          </w:p>
        </w:tc>
        <w:tc>
          <w:tcPr>
            <w:tcW w:type="dxa" w:w="1040"/>
            <w:tcMar>
              <w:top w:w="50" w:type="dxa"/>
              <w:bottom w:w="50" w:type="dxa"/>
              <w:left w:w="60" w:type="dxa"/>
              <w:right w:w="60" w:type="dxa"/>
            </w:tcMar>
          </w:tcPr>
          <w:p>
            <w:pPr>
              <w:spacing w:line="240" w:lineRule="auto" w:after="40" w:before="40"/>
              <w:jc w:val="right"/>
            </w:pPr>
            <w:r>
              <w:rPr>
                <w:sz w:val="16"/>
              </w:rPr>
              <w:t>3,3</w:t>
            </w:r>
          </w:p>
        </w:tc>
        <w:tc>
          <w:tcPr>
            <w:tcW w:type="dxa" w:w="1040"/>
            <w:tcMar>
              <w:top w:w="50" w:type="dxa"/>
              <w:bottom w:w="50" w:type="dxa"/>
              <w:left w:w="60" w:type="dxa"/>
              <w:right w:w="60" w:type="dxa"/>
            </w:tcMar>
          </w:tcPr>
          <w:p>
            <w:pPr>
              <w:spacing w:line="240" w:lineRule="auto" w:after="40" w:before="40"/>
              <w:jc w:val="right"/>
            </w:pPr>
            <w:r>
              <w:rPr>
                <w:sz w:val="16"/>
              </w:rPr>
              <w:t>5,9</w:t>
            </w:r>
          </w:p>
        </w:tc>
        <w:tc>
          <w:tcPr>
            <w:tcW w:type="dxa" w:w="1040"/>
            <w:tcMar>
              <w:top w:w="50" w:type="dxa"/>
              <w:bottom w:w="50" w:type="dxa"/>
              <w:left w:w="60" w:type="dxa"/>
              <w:right w:w="60" w:type="dxa"/>
            </w:tcMar>
          </w:tcPr>
          <w:p>
            <w:pPr>
              <w:spacing w:line="240" w:lineRule="auto" w:after="40" w:before="40"/>
              <w:jc w:val="right"/>
            </w:pPr>
            <w:r>
              <w:rPr>
                <w:sz w:val="16"/>
              </w:rPr>
              <w:t>2,9</w:t>
            </w:r>
          </w:p>
        </w:tc>
        <w:tc>
          <w:tcPr>
            <w:tcW w:type="dxa" w:w="1040"/>
            <w:tcMar>
              <w:top w:w="50" w:type="dxa"/>
              <w:bottom w:w="50" w:type="dxa"/>
              <w:left w:w="60" w:type="dxa"/>
              <w:right w:w="60" w:type="dxa"/>
            </w:tcMar>
          </w:tcPr>
          <w:p>
            <w:pPr>
              <w:spacing w:line="240" w:lineRule="auto" w:after="40" w:before="40"/>
              <w:jc w:val="right"/>
            </w:pPr>
            <w:r>
              <w:rPr>
                <w:sz w:val="16"/>
              </w:rPr>
              <w:t>0,25</w:t>
            </w:r>
          </w:p>
        </w:tc>
        <w:tc>
          <w:tcPr>
            <w:tcW w:type="dxa" w:w="1040"/>
            <w:tcMar>
              <w:top w:w="50" w:type="dxa"/>
              <w:bottom w:w="50" w:type="dxa"/>
              <w:left w:w="60" w:type="dxa"/>
              <w:right w:w="60" w:type="dxa"/>
            </w:tcMar>
          </w:tcPr>
          <w:p>
            <w:pPr>
              <w:spacing w:line="240" w:lineRule="auto" w:after="40" w:before="40"/>
              <w:jc w:val="right"/>
            </w:pPr>
            <w:r>
              <w:rPr>
                <w:sz w:val="16"/>
              </w:rPr>
              <w:t>88,5%</w:t>
            </w:r>
          </w:p>
        </w:tc>
        <w:tc>
          <w:tcPr>
            <w:tcW w:type="dxa" w:w="1040"/>
            <w:tcMar>
              <w:top w:w="50" w:type="dxa"/>
              <w:bottom w:w="50" w:type="dxa"/>
              <w:left w:w="60" w:type="dxa"/>
              <w:right w:w="60" w:type="dxa"/>
            </w:tcMar>
          </w:tcPr>
          <w:p>
            <w:pPr>
              <w:spacing w:line="240" w:lineRule="auto" w:after="40" w:before="40"/>
              <w:jc w:val="right"/>
            </w:pPr>
            <w:r>
              <w:rPr>
                <w:sz w:val="16"/>
              </w:rPr>
              <w:t>118,3%</w:t>
            </w:r>
          </w:p>
        </w:tc>
      </w:tr>
      <w:tr>
        <w:tc>
          <w:tcPr>
            <w:tcW w:type="dxa" w:w="1040"/>
            <w:tcMar>
              <w:top w:w="50" w:type="dxa"/>
              <w:bottom w:w="50" w:type="dxa"/>
              <w:left w:w="60" w:type="dxa"/>
              <w:right w:w="60" w:type="dxa"/>
            </w:tcMar>
          </w:tcPr>
          <w:p>
            <w:pPr>
              <w:spacing w:line="240" w:lineRule="auto" w:after="40" w:before="40"/>
              <w:jc w:val="left"/>
            </w:pPr>
            <w:r>
              <w:rPr>
                <w:sz w:val="16"/>
              </w:rPr>
              <w:t>Klabin</w:t>
            </w:r>
          </w:p>
        </w:tc>
        <w:tc>
          <w:tcPr>
            <w:tcW w:type="dxa" w:w="1040"/>
            <w:tcMar>
              <w:top w:w="50" w:type="dxa"/>
              <w:bottom w:w="50" w:type="dxa"/>
              <w:left w:w="60" w:type="dxa"/>
              <w:right w:w="60" w:type="dxa"/>
            </w:tcMar>
          </w:tcPr>
          <w:p>
            <w:pPr>
              <w:spacing w:line="240" w:lineRule="auto" w:after="40" w:before="40"/>
              <w:jc w:val="right"/>
            </w:pPr>
            <w:r>
              <w:rPr>
                <w:sz w:val="16"/>
              </w:rPr>
              <w:t>58,5</w:t>
            </w:r>
          </w:p>
        </w:tc>
        <w:tc>
          <w:tcPr>
            <w:tcW w:type="dxa" w:w="1040"/>
            <w:tcMar>
              <w:top w:w="50" w:type="dxa"/>
              <w:bottom w:w="50" w:type="dxa"/>
              <w:left w:w="60" w:type="dxa"/>
              <w:right w:w="60" w:type="dxa"/>
            </w:tcMar>
          </w:tcPr>
          <w:p>
            <w:pPr>
              <w:spacing w:line="240" w:lineRule="auto" w:after="40" w:before="40"/>
              <w:jc w:val="right"/>
            </w:pPr>
            <w:r>
              <w:rPr>
                <w:sz w:val="16"/>
              </w:rPr>
              <w:t>106,7</w:t>
            </w:r>
          </w:p>
        </w:tc>
        <w:tc>
          <w:tcPr>
            <w:tcW w:type="dxa" w:w="1040"/>
            <w:tcMar>
              <w:top w:w="50" w:type="dxa"/>
              <w:bottom w:w="50" w:type="dxa"/>
              <w:left w:w="60" w:type="dxa"/>
              <w:right w:w="60" w:type="dxa"/>
            </w:tcMar>
          </w:tcPr>
          <w:p>
            <w:pPr>
              <w:spacing w:line="240" w:lineRule="auto" w:after="40" w:before="40"/>
              <w:jc w:val="right"/>
            </w:pPr>
            <w:r>
              <w:rPr>
                <w:sz w:val="16"/>
              </w:rPr>
              <w:t>2,1</w:t>
            </w:r>
          </w:p>
        </w:tc>
        <w:tc>
          <w:tcPr>
            <w:tcW w:type="dxa" w:w="1040"/>
            <w:tcMar>
              <w:top w:w="50" w:type="dxa"/>
              <w:bottom w:w="50" w:type="dxa"/>
              <w:left w:w="60" w:type="dxa"/>
              <w:right w:w="60" w:type="dxa"/>
            </w:tcMar>
          </w:tcPr>
          <w:p>
            <w:pPr>
              <w:spacing w:line="240" w:lineRule="auto" w:after="40" w:before="40"/>
              <w:jc w:val="right"/>
            </w:pPr>
            <w:r>
              <w:rPr>
                <w:sz w:val="16"/>
              </w:rPr>
              <w:t>3,9</w:t>
            </w:r>
          </w:p>
        </w:tc>
        <w:tc>
          <w:tcPr>
            <w:tcW w:type="dxa" w:w="1040"/>
            <w:tcMar>
              <w:top w:w="50" w:type="dxa"/>
              <w:bottom w:w="50" w:type="dxa"/>
              <w:left w:w="60" w:type="dxa"/>
              <w:right w:w="60" w:type="dxa"/>
            </w:tcMar>
          </w:tcPr>
          <w:p>
            <w:pPr>
              <w:spacing w:line="240" w:lineRule="auto" w:after="40" w:before="40"/>
              <w:jc w:val="right"/>
            </w:pPr>
            <w:r>
              <w:rPr>
                <w:sz w:val="16"/>
              </w:rPr>
              <w:t>2,8</w:t>
            </w:r>
          </w:p>
        </w:tc>
        <w:tc>
          <w:tcPr>
            <w:tcW w:type="dxa" w:w="1040"/>
            <w:tcMar>
              <w:top w:w="50" w:type="dxa"/>
              <w:bottom w:w="50" w:type="dxa"/>
              <w:left w:w="60" w:type="dxa"/>
              <w:right w:w="60" w:type="dxa"/>
            </w:tcMar>
          </w:tcPr>
          <w:p>
            <w:pPr>
              <w:spacing w:line="240" w:lineRule="auto" w:after="40" w:before="40"/>
              <w:jc w:val="right"/>
            </w:pPr>
            <w:r>
              <w:rPr>
                <w:sz w:val="16"/>
              </w:rPr>
              <w:t>1,1</w:t>
            </w:r>
          </w:p>
        </w:tc>
        <w:tc>
          <w:tcPr>
            <w:tcW w:type="dxa" w:w="1040"/>
            <w:tcMar>
              <w:top w:w="50" w:type="dxa"/>
              <w:bottom w:w="50" w:type="dxa"/>
              <w:left w:w="60" w:type="dxa"/>
              <w:right w:w="60" w:type="dxa"/>
            </w:tcMar>
          </w:tcPr>
          <w:p>
            <w:pPr>
              <w:spacing w:line="240" w:lineRule="auto" w:after="40" w:before="40"/>
              <w:jc w:val="right"/>
            </w:pPr>
            <w:r>
              <w:rPr>
                <w:sz w:val="16"/>
              </w:rPr>
              <w:t>59,3%</w:t>
            </w:r>
          </w:p>
        </w:tc>
        <w:tc>
          <w:tcPr>
            <w:tcW w:type="dxa" w:w="1040"/>
            <w:tcMar>
              <w:top w:w="50" w:type="dxa"/>
              <w:bottom w:w="50" w:type="dxa"/>
              <w:left w:w="60" w:type="dxa"/>
              <w:right w:w="60" w:type="dxa"/>
            </w:tcMar>
          </w:tcPr>
          <w:p>
            <w:pPr>
              <w:spacing w:line="240" w:lineRule="auto" w:after="40" w:before="40"/>
              <w:jc w:val="right"/>
            </w:pPr>
            <w:r>
              <w:rPr>
                <w:sz w:val="16"/>
              </w:rPr>
              <w:t>58,9%</w:t>
            </w:r>
          </w:p>
        </w:tc>
      </w:tr>
      <w:tr>
        <w:tc>
          <w:tcPr>
            <w:tcW w:type="dxa" w:w="1040"/>
            <w:tcMar>
              <w:top w:w="50" w:type="dxa"/>
              <w:bottom w:w="50" w:type="dxa"/>
              <w:left w:w="60" w:type="dxa"/>
              <w:right w:w="60" w:type="dxa"/>
            </w:tcMar>
          </w:tcPr>
          <w:p>
            <w:pPr>
              <w:spacing w:line="240" w:lineRule="auto" w:after="40" w:before="40"/>
              <w:jc w:val="left"/>
            </w:pPr>
            <w:r>
              <w:rPr>
                <w:sz w:val="16"/>
              </w:rPr>
              <w:t>Unigel</w:t>
            </w:r>
          </w:p>
        </w:tc>
        <w:tc>
          <w:tcPr>
            <w:tcW w:type="dxa" w:w="1040"/>
            <w:tcMar>
              <w:top w:w="50" w:type="dxa"/>
              <w:bottom w:w="50" w:type="dxa"/>
              <w:left w:w="60" w:type="dxa"/>
              <w:right w:w="60" w:type="dxa"/>
            </w:tcMar>
          </w:tcPr>
          <w:p>
            <w:pPr>
              <w:spacing w:line="240" w:lineRule="auto" w:after="40" w:before="40"/>
              <w:jc w:val="right"/>
            </w:pPr>
            <w:r>
              <w:rPr>
                <w:sz w:val="16"/>
              </w:rPr>
              <w:t>15,2</w:t>
            </w:r>
          </w:p>
        </w:tc>
        <w:tc>
          <w:tcPr>
            <w:tcW w:type="dxa" w:w="1040"/>
            <w:tcMar>
              <w:top w:w="50" w:type="dxa"/>
              <w:bottom w:w="50" w:type="dxa"/>
              <w:left w:w="60" w:type="dxa"/>
              <w:right w:w="60" w:type="dxa"/>
            </w:tcMar>
          </w:tcPr>
          <w:p>
            <w:pPr>
              <w:spacing w:line="240" w:lineRule="auto" w:after="40" w:before="40"/>
              <w:jc w:val="right"/>
            </w:pPr>
            <w:r>
              <w:rPr>
                <w:sz w:val="16"/>
              </w:rPr>
              <w:t>27,7</w:t>
            </w:r>
          </w:p>
        </w:tc>
        <w:tc>
          <w:tcPr>
            <w:tcW w:type="dxa" w:w="1040"/>
            <w:tcMar>
              <w:top w:w="50" w:type="dxa"/>
              <w:bottom w:w="50" w:type="dxa"/>
              <w:left w:w="60" w:type="dxa"/>
              <w:right w:w="60" w:type="dxa"/>
            </w:tcMar>
          </w:tcPr>
          <w:p>
            <w:pPr>
              <w:spacing w:line="240" w:lineRule="auto" w:after="40" w:before="40"/>
              <w:jc w:val="right"/>
            </w:pPr>
            <w:r>
              <w:rPr>
                <w:sz w:val="16"/>
              </w:rPr>
              <w:t>0,84</w:t>
            </w:r>
          </w:p>
        </w:tc>
        <w:tc>
          <w:tcPr>
            <w:tcW w:type="dxa" w:w="1040"/>
            <w:tcMar>
              <w:top w:w="50" w:type="dxa"/>
              <w:bottom w:w="50" w:type="dxa"/>
              <w:left w:w="60" w:type="dxa"/>
              <w:right w:w="60" w:type="dxa"/>
            </w:tcMar>
          </w:tcPr>
          <w:p>
            <w:pPr>
              <w:spacing w:line="240" w:lineRule="auto" w:after="40" w:before="40"/>
              <w:jc w:val="right"/>
            </w:pPr>
            <w:r>
              <w:rPr>
                <w:sz w:val="16"/>
              </w:rPr>
              <w:t>1,53</w:t>
            </w:r>
          </w:p>
        </w:tc>
        <w:tc>
          <w:tcPr>
            <w:tcW w:type="dxa" w:w="1040"/>
            <w:tcMar>
              <w:top w:w="50" w:type="dxa"/>
              <w:bottom w:w="50" w:type="dxa"/>
              <w:left w:w="60" w:type="dxa"/>
              <w:right w:w="60" w:type="dxa"/>
            </w:tcMar>
          </w:tcPr>
          <w:p>
            <w:pPr>
              <w:spacing w:line="240" w:lineRule="auto" w:after="40" w:before="40"/>
              <w:jc w:val="right"/>
            </w:pPr>
            <w:r>
              <w:rPr>
                <w:sz w:val="16"/>
              </w:rPr>
              <w:t>0,35</w:t>
            </w:r>
          </w:p>
        </w:tc>
        <w:tc>
          <w:tcPr>
            <w:tcW w:type="dxa" w:w="1040"/>
            <w:tcMar>
              <w:top w:w="50" w:type="dxa"/>
              <w:bottom w:w="50" w:type="dxa"/>
              <w:left w:w="60" w:type="dxa"/>
              <w:right w:w="60" w:type="dxa"/>
            </w:tcMar>
          </w:tcPr>
          <w:p>
            <w:pPr>
              <w:spacing w:line="240" w:lineRule="auto" w:after="40" w:before="40"/>
              <w:jc w:val="right"/>
            </w:pPr>
            <w:r>
              <w:rPr>
                <w:sz w:val="16"/>
              </w:rPr>
              <w:t>-0,34</w:t>
            </w:r>
          </w:p>
        </w:tc>
        <w:tc>
          <w:tcPr>
            <w:tcW w:type="dxa" w:w="1040"/>
            <w:tcMar>
              <w:top w:w="50" w:type="dxa"/>
              <w:bottom w:w="50" w:type="dxa"/>
              <w:left w:w="60" w:type="dxa"/>
              <w:right w:w="60" w:type="dxa"/>
            </w:tcMar>
          </w:tcPr>
          <w:p>
            <w:pPr>
              <w:spacing w:line="240" w:lineRule="auto" w:after="40" w:before="40"/>
              <w:jc w:val="right"/>
            </w:pPr>
            <w:r>
              <w:rPr>
                <w:sz w:val="16"/>
              </w:rPr>
              <w:t>190,6%</w:t>
            </w:r>
          </w:p>
        </w:tc>
        <w:tc>
          <w:tcPr>
            <w:tcW w:type="dxa" w:w="1040"/>
            <w:tcMar>
              <w:top w:w="50" w:type="dxa"/>
              <w:bottom w:w="50" w:type="dxa"/>
              <w:left w:w="60" w:type="dxa"/>
              <w:right w:w="60" w:type="dxa"/>
            </w:tcMar>
          </w:tcPr>
          <w:p>
            <w:pPr>
              <w:spacing w:line="240" w:lineRule="auto" w:after="40" w:before="40"/>
              <w:jc w:val="right"/>
            </w:pPr>
            <w:r>
              <w:rPr>
                <w:sz w:val="16"/>
              </w:rPr>
              <w:t>1.113,2%</w:t>
            </w:r>
          </w:p>
        </w:tc>
      </w:tr>
      <w:tr>
        <w:tc>
          <w:tcPr>
            <w:tcW w:type="dxa" w:w="1040"/>
            <w:shd w:fill="F2F2F2"/>
            <w:tcMar>
              <w:top w:w="50" w:type="dxa"/>
              <w:bottom w:w="50" w:type="dxa"/>
              <w:left w:w="60" w:type="dxa"/>
              <w:right w:w="60" w:type="dxa"/>
            </w:tcMar>
          </w:tcPr>
          <w:p>
            <w:pPr>
              <w:spacing w:line="240" w:lineRule="auto" w:after="40" w:before="40"/>
              <w:jc w:val="left"/>
            </w:pPr>
            <w:r>
              <w:rPr>
                <w:b/>
                <w:sz w:val="16"/>
              </w:rPr>
              <w:t>Média Amostra</w:t>
            </w:r>
          </w:p>
        </w:tc>
        <w:tc>
          <w:tcPr>
            <w:tcW w:type="dxa" w:w="1040"/>
            <w:shd w:fill="F2F2F2"/>
            <w:tcMar>
              <w:top w:w="50" w:type="dxa"/>
              <w:bottom w:w="50" w:type="dxa"/>
              <w:left w:w="60" w:type="dxa"/>
              <w:right w:w="60" w:type="dxa"/>
            </w:tcMar>
          </w:tcPr>
          <w:p>
            <w:pPr>
              <w:spacing w:line="240" w:lineRule="auto" w:after="40" w:before="40"/>
              <w:jc w:val="right"/>
            </w:pPr>
            <w:r>
              <w:rPr>
                <w:b/>
                <w:sz w:val="16"/>
              </w:rPr>
              <w:t>280,3</w:t>
            </w:r>
          </w:p>
        </w:tc>
        <w:tc>
          <w:tcPr>
            <w:tcW w:type="dxa" w:w="1040"/>
            <w:shd w:fill="F2F2F2"/>
            <w:tcMar>
              <w:top w:w="50" w:type="dxa"/>
              <w:bottom w:w="50" w:type="dxa"/>
              <w:left w:w="60" w:type="dxa"/>
              <w:right w:w="60" w:type="dxa"/>
            </w:tcMar>
          </w:tcPr>
          <w:p>
            <w:pPr>
              <w:spacing w:line="240" w:lineRule="auto" w:after="40" w:before="40"/>
              <w:jc w:val="right"/>
            </w:pPr>
            <w:r>
              <w:rPr>
                <w:b/>
                <w:sz w:val="16"/>
              </w:rPr>
              <w:t>510,5</w:t>
            </w:r>
          </w:p>
        </w:tc>
        <w:tc>
          <w:tcPr>
            <w:tcW w:type="dxa" w:w="1040"/>
            <w:shd w:fill="F2F2F2"/>
            <w:tcMar>
              <w:top w:w="50" w:type="dxa"/>
              <w:bottom w:w="50" w:type="dxa"/>
              <w:left w:w="60" w:type="dxa"/>
              <w:right w:w="60" w:type="dxa"/>
            </w:tcMar>
          </w:tcPr>
          <w:p>
            <w:pPr>
              <w:spacing w:line="240" w:lineRule="auto" w:after="40" w:before="40"/>
              <w:jc w:val="right"/>
            </w:pPr>
            <w:r>
              <w:rPr>
                <w:b/>
                <w:sz w:val="16"/>
              </w:rPr>
              <w:t>11,7</w:t>
            </w:r>
          </w:p>
        </w:tc>
        <w:tc>
          <w:tcPr>
            <w:tcW w:type="dxa" w:w="1040"/>
            <w:shd w:fill="F2F2F2"/>
            <w:tcMar>
              <w:top w:w="50" w:type="dxa"/>
              <w:bottom w:w="50" w:type="dxa"/>
              <w:left w:w="60" w:type="dxa"/>
              <w:right w:w="60" w:type="dxa"/>
            </w:tcMar>
          </w:tcPr>
          <w:p>
            <w:pPr>
              <w:spacing w:line="240" w:lineRule="auto" w:after="40" w:before="40"/>
              <w:jc w:val="right"/>
            </w:pPr>
            <w:r>
              <w:rPr>
                <w:b/>
                <w:sz w:val="16"/>
              </w:rPr>
              <w:t>21,2</w:t>
            </w:r>
          </w:p>
        </w:tc>
        <w:tc>
          <w:tcPr>
            <w:tcW w:type="dxa" w:w="1040"/>
            <w:shd w:fill="F2F2F2"/>
            <w:tcMar>
              <w:top w:w="50" w:type="dxa"/>
              <w:bottom w:w="50" w:type="dxa"/>
              <w:left w:w="60" w:type="dxa"/>
              <w:right w:w="60" w:type="dxa"/>
            </w:tcMar>
          </w:tcPr>
          <w:p>
            <w:pPr>
              <w:spacing w:line="240" w:lineRule="auto" w:after="40" w:before="40"/>
              <w:jc w:val="right"/>
            </w:pPr>
            <w:r>
              <w:rPr>
                <w:b/>
                <w:sz w:val="16"/>
              </w:rPr>
              <w:t>18,1</w:t>
            </w:r>
          </w:p>
        </w:tc>
        <w:tc>
          <w:tcPr>
            <w:tcW w:type="dxa" w:w="1040"/>
            <w:shd w:fill="F2F2F2"/>
            <w:tcMar>
              <w:top w:w="50" w:type="dxa"/>
              <w:bottom w:w="50" w:type="dxa"/>
              <w:left w:w="60" w:type="dxa"/>
              <w:right w:w="60" w:type="dxa"/>
            </w:tcMar>
          </w:tcPr>
          <w:p>
            <w:pPr>
              <w:spacing w:line="240" w:lineRule="auto" w:after="40" w:before="40"/>
              <w:jc w:val="right"/>
            </w:pPr>
            <w:r>
              <w:rPr>
                <w:b/>
                <w:sz w:val="16"/>
              </w:rPr>
              <w:t>8,5</w:t>
            </w:r>
          </w:p>
        </w:tc>
        <w:tc>
          <w:tcPr>
            <w:tcW w:type="dxa" w:w="1040"/>
            <w:shd w:fill="F2F2F2"/>
            <w:tcMar>
              <w:top w:w="50" w:type="dxa"/>
              <w:bottom w:w="50" w:type="dxa"/>
              <w:left w:w="60" w:type="dxa"/>
              <w:right w:w="60" w:type="dxa"/>
            </w:tcMar>
          </w:tcPr>
          <w:p>
            <w:pPr>
              <w:spacing w:line="240" w:lineRule="auto" w:after="40" w:before="40"/>
              <w:jc w:val="right"/>
            </w:pPr>
            <w:r>
              <w:rPr>
                <w:b/>
                <w:sz w:val="16"/>
              </w:rPr>
              <w:t>61,5%</w:t>
            </w:r>
          </w:p>
        </w:tc>
        <w:tc>
          <w:tcPr>
            <w:tcW w:type="dxa" w:w="1040"/>
            <w:shd w:fill="F2F2F2"/>
            <w:tcMar>
              <w:top w:w="50" w:type="dxa"/>
              <w:bottom w:w="50" w:type="dxa"/>
              <w:left w:w="60" w:type="dxa"/>
              <w:right w:w="60" w:type="dxa"/>
            </w:tcMar>
          </w:tcPr>
          <w:p>
            <w:pPr>
              <w:spacing w:line="240" w:lineRule="auto" w:after="40" w:before="40"/>
              <w:jc w:val="right"/>
            </w:pPr>
            <w:r>
              <w:rPr>
                <w:b/>
                <w:sz w:val="16"/>
              </w:rPr>
              <w:t>67,8%</w:t>
            </w:r>
          </w:p>
        </w:tc>
      </w:tr>
    </w:tbl>
    <w:p>
      <w:pPr>
        <w:spacing w:before="40" w:after="160"/>
      </w:pPr>
      <w:r>
        <w:rPr>
          <w:i/>
          <w:sz w:val="17"/>
        </w:rPr>
        <w:t>Fonte: Elaborada pelos autores com base nos dados da CVM e BACEN/FGV (2016-2025).</w:t>
      </w:r>
    </w:p>
    <w:p>
      <w:pPr>
        <w:spacing w:before="240" w:after="80" w:line="276" w:lineRule="auto"/>
      </w:pPr>
      <w:r>
        <w:rPr>
          <w:b/>
          <w:color w:val="000000"/>
          <w:sz w:val="24"/>
        </w:rPr>
        <w:t>4.2 Avaliação da Hipótese 1 (H1): Ilusão de Lucro Contábil e Erosão dos Resultados</w:t>
      </w:r>
    </w:p>
    <w:p>
      <w:pPr>
        <w:spacing w:line="360" w:lineRule="auto" w:after="120"/>
        <w:jc w:val="both"/>
      </w:pPr>
      <w:r>
        <w:t>Os resultados empíricos validaram integralmente a Hipótese 1 (H1). A despesa anual de depreciação contábil (média de R$ 11,7 bilhões por empresa) mostrou-se substancialmente defasada em relação à depreciação econômica a valor de reposição (média de R$ 21,2 bilhões), gerando um déficit médio anual de reposição de R$ 9,57 bilhões por empresa. Essa defasagem reduziu o Lucro Líquido Real das companhias em 61,5% na média do decênio analisado.</w:t>
      </w:r>
    </w:p>
    <w:p>
      <w:pPr>
        <w:spacing w:line="360" w:lineRule="auto" w:after="120"/>
        <w:jc w:val="both"/>
      </w:pPr>
      <w:r>
        <w:t>O impacto mostrou-se especialmente severo em empresas siderúrgicas e petroquímicas com margens operacionais mais estreitas. Na CSN e na Gerdau, a erosão do lucro contábil atingiu 88,5% e 89,7%, respectivamente, indicando que praticamente todo o resultado reportado aos investidores consistia em ganho nominal decorrente da defasagem de custos. No caso da Unigel, a depreciação real excedeu integralmente a margem contábil, transformando um lucro contábil médio de R$ 354,8 milhões em um prejuízo econômico real de R$ 340,1 milhões anuais (erosão de 190,6%), demonstrando que a empresa operava em contínua destruição de capacidade patrimonial sob o manto de lucros contábeis positivos.</w:t>
      </w:r>
    </w:p>
    <w:p>
      <w:pPr>
        <w:spacing w:before="240" w:after="80" w:line="276" w:lineRule="auto"/>
      </w:pPr>
      <w:r>
        <w:rPr>
          <w:b/>
          <w:color w:val="000000"/>
          <w:sz w:val="24"/>
        </w:rPr>
        <w:t>4.3 Avaliação da Hipótese 2 (H2): Carga Tributária Efetiva Real e Drenagem Fiscal</w:t>
      </w:r>
    </w:p>
    <w:p>
      <w:pPr>
        <w:spacing w:line="360" w:lineRule="auto" w:after="120"/>
        <w:jc w:val="both"/>
      </w:pPr>
      <w:r>
        <w:t>A Hipótese 2 (H2) foi categoricamente confirmada. Sob a vigência da Lei nº 9.249/1995, as empresas são impedidas de deduzir a depreciação a valor corrente no Lalur, sendo forçadas a recolher 34% de IRPJ e CSLL sobre lucros inflacionários puramente fictícios. No conjunto das oito companhias avaliadas, o volume financeiro anual do Tributo Inflacionário Oculto atingiu R$ 25,6 bilhões (R$ 258,9 bilhões acumulados em 10 anos). Essa drenagem tributária involuntária elevou a Alíquota Efetiva Real média da amostra para 67,8%, praticamente o dobro da alíquota legal de 34%. Em setores como o siderúrgico, a carga tributária efetiva real superou 100% (CSN: 118,3%; Gerdau: 106,8%), configurando um mecanismo tributário que absorve integralmente a capacidade de autofinanciamento da indústria de transformação.</w:t>
      </w:r>
    </w:p>
    <w:p>
      <w:pPr>
        <w:spacing w:before="240" w:after="80" w:line="276" w:lineRule="auto"/>
      </w:pPr>
      <w:r>
        <w:rPr>
          <w:b/>
          <w:color w:val="000000"/>
          <w:sz w:val="24"/>
        </w:rPr>
        <w:t>4.4 Avaliação da Hipótese 3 (H3): Descapitalização Acionária e Ilusão de Dividend Yield</w:t>
      </w:r>
    </w:p>
    <w:p>
      <w:pPr>
        <w:spacing w:line="360" w:lineRule="auto" w:after="120"/>
        <w:jc w:val="both"/>
      </w:pPr>
      <w:r>
        <w:t>A análise dos fluxos de remuneração aos acionistas confirmou a Hipótese 3 (H3). Ao distribuírem proventos estatutários obrigatórios (25% a 50% do lucro contábil legal), as corporações distribuíram montantes financeiros que superaram com frequência a totalidade do lucro econômico real gerado. Em exercícios de choques de custos de insumos (como 2020 a 2023), os dividend yields atrativos precificados pelo mercado configuraram, sob a ótica da perpetuidade da firma, a liquidação silenciosa de capital social e a devolução de patrimônio físico aos acionistas.</w:t>
      </w:r>
    </w:p>
    <w:p>
      <w:pPr>
        <w:spacing w:before="240" w:after="80" w:line="276" w:lineRule="auto"/>
      </w:pPr>
      <w:r>
        <w:rPr>
          <w:b/>
          <w:color w:val="000000"/>
          <w:sz w:val="24"/>
        </w:rPr>
        <w:t>4.5 Testes Estatísticos Formais de Hipótese: t de Student e Wilcoxon</w:t>
      </w:r>
    </w:p>
    <w:p>
      <w:pPr>
        <w:spacing w:line="360" w:lineRule="auto" w:after="120"/>
        <w:jc w:val="both"/>
      </w:pPr>
      <w:r>
        <w:t>A Tabela 3 consolida os resultados dos testes estatísticos paramétricos e não paramétricos pareados conduzidos para todas as variáveis e hipóteses centrais ao longo das 80 observações empresa-ano. Os testes atestaram que as diferenças entre grandezas contábeis e grandezas econômicas reais são estatisticamente significantes ao nível de p &lt; 0,0001 em todas as dimensões de resultado e depreciação. O coeficiente d de Cohen situou-se em 0,631 para lucro e depreciação e 0,666 para o imobilizado bruto, atestando efeitos econômicos de magnitude moderada a alta. Rejeita-se, portanto, formalmente e em definitivo, a hipótese nula (H0: μ_d = 0) de equivalência entre os dados contábeis reportados e a realidade econômica das firmas.</w:t>
      </w:r>
    </w:p>
    <w:p>
      <w:pPr>
        <w:spacing w:before="160" w:after="80"/>
      </w:pPr>
      <w:r>
        <w:rPr>
          <w:b/>
        </w:rPr>
        <w:t xml:space="preserve">Tabela 3. </w:t>
      </w:r>
      <w:r>
        <w:t>Testes estatísticos de hipótese paramétricos (t de Student pareado) e não paramétricos (Wilcoxon postos com sinais) (n = 80, 2016–2025)</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EAEAEA"/>
            <w:tcMar>
              <w:top w:w="50" w:type="dxa"/>
              <w:bottom w:w="50" w:type="dxa"/>
              <w:left w:w="60" w:type="dxa"/>
              <w:right w:w="60" w:type="dxa"/>
            </w:tcMar>
          </w:tcPr>
          <w:p>
            <w:pPr>
              <w:spacing w:line="240" w:lineRule="auto" w:after="40" w:before="40"/>
              <w:jc w:val="center"/>
            </w:pPr>
            <w:r>
              <w:rPr>
                <w:b/>
                <w:sz w:val="15"/>
              </w:rPr>
              <w:t>Hipótese / Dimensão Testada</w:t>
            </w:r>
          </w:p>
        </w:tc>
        <w:tc>
          <w:tcPr>
            <w:tcW w:type="dxa" w:w="851"/>
            <w:shd w:fill="EAEAEA"/>
            <w:tcMar>
              <w:top w:w="50" w:type="dxa"/>
              <w:bottom w:w="50" w:type="dxa"/>
              <w:left w:w="60" w:type="dxa"/>
              <w:right w:w="60" w:type="dxa"/>
            </w:tcMar>
          </w:tcPr>
          <w:p>
            <w:pPr>
              <w:spacing w:line="240" w:lineRule="auto" w:after="40" w:before="40"/>
              <w:jc w:val="center"/>
            </w:pPr>
            <w:r>
              <w:rPr>
                <w:b/>
                <w:sz w:val="15"/>
              </w:rPr>
              <w:t>Média Contábil / Ref.</w:t>
            </w:r>
          </w:p>
        </w:tc>
        <w:tc>
          <w:tcPr>
            <w:tcW w:type="dxa" w:w="851"/>
            <w:shd w:fill="EAEAEA"/>
            <w:tcMar>
              <w:top w:w="50" w:type="dxa"/>
              <w:bottom w:w="50" w:type="dxa"/>
              <w:left w:w="60" w:type="dxa"/>
              <w:right w:w="60" w:type="dxa"/>
            </w:tcMar>
          </w:tcPr>
          <w:p>
            <w:pPr>
              <w:spacing w:line="240" w:lineRule="auto" w:after="40" w:before="40"/>
              <w:jc w:val="center"/>
            </w:pPr>
            <w:r>
              <w:rPr>
                <w:b/>
                <w:sz w:val="15"/>
              </w:rPr>
              <w:t>Média Real (Ajustada)</w:t>
            </w:r>
          </w:p>
        </w:tc>
        <w:tc>
          <w:tcPr>
            <w:tcW w:type="dxa" w:w="851"/>
            <w:shd w:fill="EAEAEA"/>
            <w:tcMar>
              <w:top w:w="50" w:type="dxa"/>
              <w:bottom w:w="50" w:type="dxa"/>
              <w:left w:w="60" w:type="dxa"/>
              <w:right w:w="60" w:type="dxa"/>
            </w:tcMar>
          </w:tcPr>
          <w:p>
            <w:pPr>
              <w:spacing w:line="240" w:lineRule="auto" w:after="40" w:before="40"/>
              <w:jc w:val="center"/>
            </w:pPr>
            <w:r>
              <w:rPr>
                <w:b/>
                <w:sz w:val="15"/>
              </w:rPr>
              <w:t>Diferença Média (d̄)</w:t>
            </w:r>
          </w:p>
        </w:tc>
        <w:tc>
          <w:tcPr>
            <w:tcW w:type="dxa" w:w="851"/>
            <w:shd w:fill="EAEAEA"/>
            <w:tcMar>
              <w:top w:w="50" w:type="dxa"/>
              <w:bottom w:w="50" w:type="dxa"/>
              <w:left w:w="60" w:type="dxa"/>
              <w:right w:w="60" w:type="dxa"/>
            </w:tcMar>
          </w:tcPr>
          <w:p>
            <w:pPr>
              <w:spacing w:line="240" w:lineRule="auto" w:after="40" w:before="40"/>
              <w:jc w:val="center"/>
            </w:pPr>
            <w:r>
              <w:rPr>
                <w:b/>
                <w:sz w:val="15"/>
              </w:rPr>
              <w:t>Desvio Padrão (sd)</w:t>
            </w:r>
          </w:p>
        </w:tc>
        <w:tc>
          <w:tcPr>
            <w:tcW w:type="dxa" w:w="851"/>
            <w:shd w:fill="EAEAEA"/>
            <w:tcMar>
              <w:top w:w="50" w:type="dxa"/>
              <w:bottom w:w="50" w:type="dxa"/>
              <w:left w:w="60" w:type="dxa"/>
              <w:right w:w="60" w:type="dxa"/>
            </w:tcMar>
          </w:tcPr>
          <w:p>
            <w:pPr>
              <w:spacing w:line="240" w:lineRule="auto" w:after="40" w:before="40"/>
              <w:jc w:val="center"/>
            </w:pPr>
            <w:r>
              <w:rPr>
                <w:b/>
                <w:sz w:val="15"/>
              </w:rPr>
              <w:t>Estatística t</w:t>
            </w:r>
          </w:p>
        </w:tc>
        <w:tc>
          <w:tcPr>
            <w:tcW w:type="dxa" w:w="851"/>
            <w:shd w:fill="EAEAEA"/>
            <w:tcMar>
              <w:top w:w="50" w:type="dxa"/>
              <w:bottom w:w="50" w:type="dxa"/>
              <w:left w:w="60" w:type="dxa"/>
              <w:right w:w="60" w:type="dxa"/>
            </w:tcMar>
          </w:tcPr>
          <w:p>
            <w:pPr>
              <w:spacing w:line="240" w:lineRule="auto" w:after="40" w:before="40"/>
              <w:jc w:val="center"/>
            </w:pPr>
            <w:r>
              <w:rPr>
                <w:b/>
                <w:sz w:val="15"/>
              </w:rPr>
              <w:t>gl</w:t>
            </w:r>
          </w:p>
        </w:tc>
        <w:tc>
          <w:tcPr>
            <w:tcW w:type="dxa" w:w="851"/>
            <w:shd w:fill="EAEAEA"/>
            <w:tcMar>
              <w:top w:w="50" w:type="dxa"/>
              <w:bottom w:w="50" w:type="dxa"/>
              <w:left w:w="60" w:type="dxa"/>
              <w:right w:w="60" w:type="dxa"/>
            </w:tcMar>
          </w:tcPr>
          <w:p>
            <w:pPr>
              <w:spacing w:line="240" w:lineRule="auto" w:after="40" w:before="40"/>
              <w:jc w:val="center"/>
            </w:pPr>
            <w:r>
              <w:rPr>
                <w:b/>
                <w:sz w:val="15"/>
              </w:rPr>
              <w:t>p-valor (t)</w:t>
            </w:r>
          </w:p>
        </w:tc>
        <w:tc>
          <w:tcPr>
            <w:tcW w:type="dxa" w:w="851"/>
            <w:shd w:fill="EAEAEA"/>
            <w:tcMar>
              <w:top w:w="50" w:type="dxa"/>
              <w:bottom w:w="50" w:type="dxa"/>
              <w:left w:w="60" w:type="dxa"/>
              <w:right w:w="60" w:type="dxa"/>
            </w:tcMar>
          </w:tcPr>
          <w:p>
            <w:pPr>
              <w:spacing w:line="240" w:lineRule="auto" w:after="40" w:before="40"/>
              <w:jc w:val="center"/>
            </w:pPr>
            <w:r>
              <w:rPr>
                <w:b/>
                <w:sz w:val="15"/>
              </w:rPr>
              <w:t>Estatística W</w:t>
            </w:r>
          </w:p>
        </w:tc>
        <w:tc>
          <w:tcPr>
            <w:tcW w:type="dxa" w:w="851"/>
            <w:shd w:fill="EAEAEA"/>
            <w:tcMar>
              <w:top w:w="50" w:type="dxa"/>
              <w:bottom w:w="50" w:type="dxa"/>
              <w:left w:w="60" w:type="dxa"/>
              <w:right w:w="60" w:type="dxa"/>
            </w:tcMar>
          </w:tcPr>
          <w:p>
            <w:pPr>
              <w:spacing w:line="240" w:lineRule="auto" w:after="40" w:before="40"/>
              <w:jc w:val="center"/>
            </w:pPr>
            <w:r>
              <w:rPr>
                <w:b/>
                <w:sz w:val="15"/>
              </w:rPr>
              <w:t>p-valor (W)</w:t>
            </w:r>
          </w:p>
        </w:tc>
        <w:tc>
          <w:tcPr>
            <w:tcW w:type="dxa" w:w="851"/>
            <w:shd w:fill="EAEAEA"/>
            <w:tcMar>
              <w:top w:w="50" w:type="dxa"/>
              <w:bottom w:w="50" w:type="dxa"/>
              <w:left w:w="60" w:type="dxa"/>
              <w:right w:w="60" w:type="dxa"/>
            </w:tcMar>
          </w:tcPr>
          <w:p>
            <w:pPr>
              <w:spacing w:line="240" w:lineRule="auto" w:after="40" w:before="40"/>
              <w:jc w:val="center"/>
            </w:pPr>
            <w:r>
              <w:rPr>
                <w:b/>
                <w:sz w:val="15"/>
              </w:rPr>
              <w:t>d de Cohen</w:t>
            </w:r>
          </w:p>
        </w:tc>
      </w:tr>
      <w:tr>
        <w:tc>
          <w:tcPr>
            <w:tcW w:type="dxa" w:w="851"/>
            <w:tcMar>
              <w:top w:w="50" w:type="dxa"/>
              <w:bottom w:w="50" w:type="dxa"/>
              <w:left w:w="60" w:type="dxa"/>
              <w:right w:w="60" w:type="dxa"/>
            </w:tcMar>
          </w:tcPr>
          <w:p>
            <w:pPr>
              <w:spacing w:line="240" w:lineRule="auto" w:after="40" w:before="40"/>
              <w:jc w:val="left"/>
            </w:pPr>
            <w:r>
              <w:rPr>
                <w:sz w:val="15"/>
              </w:rPr>
              <w:t>H1: Depreciação (R$ Bilhões)</w:t>
            </w:r>
          </w:p>
        </w:tc>
        <w:tc>
          <w:tcPr>
            <w:tcW w:type="dxa" w:w="851"/>
            <w:tcMar>
              <w:top w:w="50" w:type="dxa"/>
              <w:bottom w:w="50" w:type="dxa"/>
              <w:left w:w="60" w:type="dxa"/>
              <w:right w:w="60" w:type="dxa"/>
            </w:tcMar>
          </w:tcPr>
          <w:p>
            <w:pPr>
              <w:spacing w:line="240" w:lineRule="auto" w:after="40" w:before="40"/>
              <w:jc w:val="right"/>
            </w:pPr>
            <w:r>
              <w:rPr>
                <w:sz w:val="15"/>
              </w:rPr>
              <w:t>11,66</w:t>
            </w:r>
          </w:p>
        </w:tc>
        <w:tc>
          <w:tcPr>
            <w:tcW w:type="dxa" w:w="851"/>
            <w:tcMar>
              <w:top w:w="50" w:type="dxa"/>
              <w:bottom w:w="50" w:type="dxa"/>
              <w:left w:w="60" w:type="dxa"/>
              <w:right w:w="60" w:type="dxa"/>
            </w:tcMar>
          </w:tcPr>
          <w:p>
            <w:pPr>
              <w:spacing w:line="240" w:lineRule="auto" w:after="40" w:before="40"/>
              <w:jc w:val="right"/>
            </w:pPr>
            <w:r>
              <w:rPr>
                <w:sz w:val="15"/>
              </w:rPr>
              <w:t>21,22</w:t>
            </w:r>
          </w:p>
        </w:tc>
        <w:tc>
          <w:tcPr>
            <w:tcW w:type="dxa" w:w="851"/>
            <w:tcMar>
              <w:top w:w="50" w:type="dxa"/>
              <w:bottom w:w="50" w:type="dxa"/>
              <w:left w:w="60" w:type="dxa"/>
              <w:right w:w="60" w:type="dxa"/>
            </w:tcMar>
          </w:tcPr>
          <w:p>
            <w:pPr>
              <w:spacing w:line="240" w:lineRule="auto" w:after="40" w:before="40"/>
              <w:jc w:val="right"/>
            </w:pPr>
            <w:r>
              <w:rPr>
                <w:sz w:val="15"/>
              </w:rPr>
              <w:t>+9,57</w:t>
            </w:r>
          </w:p>
        </w:tc>
        <w:tc>
          <w:tcPr>
            <w:tcW w:type="dxa" w:w="851"/>
            <w:tcMar>
              <w:top w:w="50" w:type="dxa"/>
              <w:bottom w:w="50" w:type="dxa"/>
              <w:left w:w="60" w:type="dxa"/>
              <w:right w:w="60" w:type="dxa"/>
            </w:tcMar>
          </w:tcPr>
          <w:p>
            <w:pPr>
              <w:spacing w:line="240" w:lineRule="auto" w:after="40" w:before="40"/>
              <w:jc w:val="right"/>
            </w:pPr>
            <w:r>
              <w:rPr>
                <w:sz w:val="15"/>
              </w:rPr>
              <w:t>15,16</w:t>
            </w:r>
          </w:p>
        </w:tc>
        <w:tc>
          <w:tcPr>
            <w:tcW w:type="dxa" w:w="851"/>
            <w:tcMar>
              <w:top w:w="50" w:type="dxa"/>
              <w:bottom w:w="50" w:type="dxa"/>
              <w:left w:w="60" w:type="dxa"/>
              <w:right w:w="60" w:type="dxa"/>
            </w:tcMar>
          </w:tcPr>
          <w:p>
            <w:pPr>
              <w:spacing w:line="240" w:lineRule="auto" w:after="40" w:before="40"/>
              <w:jc w:val="right"/>
            </w:pPr>
            <w:r>
              <w:rPr>
                <w:sz w:val="15"/>
              </w:rPr>
              <w:t>5,6449</w:t>
            </w:r>
          </w:p>
        </w:tc>
        <w:tc>
          <w:tcPr>
            <w:tcW w:type="dxa" w:w="851"/>
            <w:tcMar>
              <w:top w:w="50" w:type="dxa"/>
              <w:bottom w:w="50" w:type="dxa"/>
              <w:left w:w="60" w:type="dxa"/>
              <w:right w:w="60" w:type="dxa"/>
            </w:tcMar>
          </w:tcPr>
          <w:p>
            <w:pPr>
              <w:spacing w:line="240" w:lineRule="auto" w:after="40" w:before="40"/>
              <w:jc w:val="right"/>
            </w:pPr>
            <w:r>
              <w:rPr>
                <w:sz w:val="15"/>
              </w:rPr>
              <w:t>79</w:t>
            </w:r>
          </w:p>
        </w:tc>
        <w:tc>
          <w:tcPr>
            <w:tcW w:type="dxa" w:w="851"/>
            <w:tcMar>
              <w:top w:w="50" w:type="dxa"/>
              <w:bottom w:w="50" w:type="dxa"/>
              <w:left w:w="60" w:type="dxa"/>
              <w:right w:w="60" w:type="dxa"/>
            </w:tcMar>
          </w:tcPr>
          <w:p>
            <w:pPr>
              <w:spacing w:line="240" w:lineRule="auto" w:after="40" w:before="40"/>
              <w:jc w:val="right"/>
            </w:pPr>
            <w:r>
              <w:rPr>
                <w:sz w:val="15"/>
              </w:rPr>
              <w:t>&lt; 0,0001</w:t>
            </w:r>
          </w:p>
        </w:tc>
        <w:tc>
          <w:tcPr>
            <w:tcW w:type="dxa" w:w="851"/>
            <w:tcMar>
              <w:top w:w="50" w:type="dxa"/>
              <w:bottom w:w="50" w:type="dxa"/>
              <w:left w:w="60" w:type="dxa"/>
              <w:right w:w="60" w:type="dxa"/>
            </w:tcMar>
          </w:tcPr>
          <w:p>
            <w:pPr>
              <w:spacing w:line="240" w:lineRule="auto" w:after="40" w:before="40"/>
              <w:jc w:val="right"/>
            </w:pPr>
            <w:r>
              <w:rPr>
                <w:sz w:val="15"/>
              </w:rPr>
              <w:t>0,0</w:t>
            </w:r>
          </w:p>
        </w:tc>
        <w:tc>
          <w:tcPr>
            <w:tcW w:type="dxa" w:w="851"/>
            <w:tcMar>
              <w:top w:w="50" w:type="dxa"/>
              <w:bottom w:w="50" w:type="dxa"/>
              <w:left w:w="60" w:type="dxa"/>
              <w:right w:w="60" w:type="dxa"/>
            </w:tcMar>
          </w:tcPr>
          <w:p>
            <w:pPr>
              <w:spacing w:line="240" w:lineRule="auto" w:after="40" w:before="40"/>
              <w:jc w:val="right"/>
            </w:pPr>
            <w:r>
              <w:rPr>
                <w:sz w:val="15"/>
              </w:rPr>
              <w:t>&lt; 0,0001</w:t>
            </w:r>
          </w:p>
        </w:tc>
        <w:tc>
          <w:tcPr>
            <w:tcW w:type="dxa" w:w="851"/>
            <w:tcMar>
              <w:top w:w="50" w:type="dxa"/>
              <w:bottom w:w="50" w:type="dxa"/>
              <w:left w:w="60" w:type="dxa"/>
              <w:right w:w="60" w:type="dxa"/>
            </w:tcMar>
          </w:tcPr>
          <w:p>
            <w:pPr>
              <w:spacing w:line="240" w:lineRule="auto" w:after="40" w:before="40"/>
              <w:jc w:val="right"/>
            </w:pPr>
            <w:r>
              <w:rPr>
                <w:sz w:val="15"/>
              </w:rPr>
              <w:t>0,631</w:t>
            </w:r>
          </w:p>
        </w:tc>
      </w:tr>
      <w:tr>
        <w:tc>
          <w:tcPr>
            <w:tcW w:type="dxa" w:w="851"/>
            <w:tcMar>
              <w:top w:w="50" w:type="dxa"/>
              <w:bottom w:w="50" w:type="dxa"/>
              <w:left w:w="60" w:type="dxa"/>
              <w:right w:w="60" w:type="dxa"/>
            </w:tcMar>
          </w:tcPr>
          <w:p>
            <w:pPr>
              <w:spacing w:line="240" w:lineRule="auto" w:after="40" w:before="40"/>
              <w:jc w:val="left"/>
            </w:pPr>
            <w:r>
              <w:rPr>
                <w:sz w:val="15"/>
              </w:rPr>
              <w:t>H1: EBT Econômico (R$ Bilhões)</w:t>
            </w:r>
          </w:p>
        </w:tc>
        <w:tc>
          <w:tcPr>
            <w:tcW w:type="dxa" w:w="851"/>
            <w:tcMar>
              <w:top w:w="50" w:type="dxa"/>
              <w:bottom w:w="50" w:type="dxa"/>
              <w:left w:w="60" w:type="dxa"/>
              <w:right w:w="60" w:type="dxa"/>
            </w:tcMar>
          </w:tcPr>
          <w:p>
            <w:pPr>
              <w:spacing w:line="240" w:lineRule="auto" w:after="40" w:before="40"/>
              <w:jc w:val="right"/>
            </w:pPr>
            <w:r>
              <w:rPr>
                <w:sz w:val="15"/>
              </w:rPr>
              <w:t>27,44</w:t>
            </w:r>
          </w:p>
        </w:tc>
        <w:tc>
          <w:tcPr>
            <w:tcW w:type="dxa" w:w="851"/>
            <w:tcMar>
              <w:top w:w="50" w:type="dxa"/>
              <w:bottom w:w="50" w:type="dxa"/>
              <w:left w:w="60" w:type="dxa"/>
              <w:right w:w="60" w:type="dxa"/>
            </w:tcMar>
          </w:tcPr>
          <w:p>
            <w:pPr>
              <w:spacing w:line="240" w:lineRule="auto" w:after="40" w:before="40"/>
              <w:jc w:val="right"/>
            </w:pPr>
            <w:r>
              <w:rPr>
                <w:sz w:val="15"/>
              </w:rPr>
              <w:t>17,87</w:t>
            </w:r>
          </w:p>
        </w:tc>
        <w:tc>
          <w:tcPr>
            <w:tcW w:type="dxa" w:w="851"/>
            <w:tcMar>
              <w:top w:w="50" w:type="dxa"/>
              <w:bottom w:w="50" w:type="dxa"/>
              <w:left w:w="60" w:type="dxa"/>
              <w:right w:w="60" w:type="dxa"/>
            </w:tcMar>
          </w:tcPr>
          <w:p>
            <w:pPr>
              <w:spacing w:line="240" w:lineRule="auto" w:after="40" w:before="40"/>
              <w:jc w:val="right"/>
            </w:pPr>
            <w:r>
              <w:rPr>
                <w:sz w:val="15"/>
              </w:rPr>
              <w:t>-9,57</w:t>
            </w:r>
          </w:p>
        </w:tc>
        <w:tc>
          <w:tcPr>
            <w:tcW w:type="dxa" w:w="851"/>
            <w:tcMar>
              <w:top w:w="50" w:type="dxa"/>
              <w:bottom w:w="50" w:type="dxa"/>
              <w:left w:w="60" w:type="dxa"/>
              <w:right w:w="60" w:type="dxa"/>
            </w:tcMar>
          </w:tcPr>
          <w:p>
            <w:pPr>
              <w:spacing w:line="240" w:lineRule="auto" w:after="40" w:before="40"/>
              <w:jc w:val="right"/>
            </w:pPr>
            <w:r>
              <w:rPr>
                <w:sz w:val="15"/>
              </w:rPr>
              <w:t>15,16</w:t>
            </w:r>
          </w:p>
        </w:tc>
        <w:tc>
          <w:tcPr>
            <w:tcW w:type="dxa" w:w="851"/>
            <w:tcMar>
              <w:top w:w="50" w:type="dxa"/>
              <w:bottom w:w="50" w:type="dxa"/>
              <w:left w:w="60" w:type="dxa"/>
              <w:right w:w="60" w:type="dxa"/>
            </w:tcMar>
          </w:tcPr>
          <w:p>
            <w:pPr>
              <w:spacing w:line="240" w:lineRule="auto" w:after="40" w:before="40"/>
              <w:jc w:val="right"/>
            </w:pPr>
            <w:r>
              <w:rPr>
                <w:sz w:val="15"/>
              </w:rPr>
              <w:t>-5,6449</w:t>
            </w:r>
          </w:p>
        </w:tc>
        <w:tc>
          <w:tcPr>
            <w:tcW w:type="dxa" w:w="851"/>
            <w:tcMar>
              <w:top w:w="50" w:type="dxa"/>
              <w:bottom w:w="50" w:type="dxa"/>
              <w:left w:w="60" w:type="dxa"/>
              <w:right w:w="60" w:type="dxa"/>
            </w:tcMar>
          </w:tcPr>
          <w:p>
            <w:pPr>
              <w:spacing w:line="240" w:lineRule="auto" w:after="40" w:before="40"/>
              <w:jc w:val="right"/>
            </w:pPr>
            <w:r>
              <w:rPr>
                <w:sz w:val="15"/>
              </w:rPr>
              <w:t>79</w:t>
            </w:r>
          </w:p>
        </w:tc>
        <w:tc>
          <w:tcPr>
            <w:tcW w:type="dxa" w:w="851"/>
            <w:tcMar>
              <w:top w:w="50" w:type="dxa"/>
              <w:bottom w:w="50" w:type="dxa"/>
              <w:left w:w="60" w:type="dxa"/>
              <w:right w:w="60" w:type="dxa"/>
            </w:tcMar>
          </w:tcPr>
          <w:p>
            <w:pPr>
              <w:spacing w:line="240" w:lineRule="auto" w:after="40" w:before="40"/>
              <w:jc w:val="right"/>
            </w:pPr>
            <w:r>
              <w:rPr>
                <w:sz w:val="15"/>
              </w:rPr>
              <w:t>&lt; 0,0001</w:t>
            </w:r>
          </w:p>
        </w:tc>
        <w:tc>
          <w:tcPr>
            <w:tcW w:type="dxa" w:w="851"/>
            <w:tcMar>
              <w:top w:w="50" w:type="dxa"/>
              <w:bottom w:w="50" w:type="dxa"/>
              <w:left w:w="60" w:type="dxa"/>
              <w:right w:w="60" w:type="dxa"/>
            </w:tcMar>
          </w:tcPr>
          <w:p>
            <w:pPr>
              <w:spacing w:line="240" w:lineRule="auto" w:after="40" w:before="40"/>
              <w:jc w:val="right"/>
            </w:pPr>
            <w:r>
              <w:rPr>
                <w:sz w:val="15"/>
              </w:rPr>
              <w:t>0,0</w:t>
            </w:r>
          </w:p>
        </w:tc>
        <w:tc>
          <w:tcPr>
            <w:tcW w:type="dxa" w:w="851"/>
            <w:tcMar>
              <w:top w:w="50" w:type="dxa"/>
              <w:bottom w:w="50" w:type="dxa"/>
              <w:left w:w="60" w:type="dxa"/>
              <w:right w:w="60" w:type="dxa"/>
            </w:tcMar>
          </w:tcPr>
          <w:p>
            <w:pPr>
              <w:spacing w:line="240" w:lineRule="auto" w:after="40" w:before="40"/>
              <w:jc w:val="right"/>
            </w:pPr>
            <w:r>
              <w:rPr>
                <w:sz w:val="15"/>
              </w:rPr>
              <w:t>&lt; 0,0001</w:t>
            </w:r>
          </w:p>
        </w:tc>
        <w:tc>
          <w:tcPr>
            <w:tcW w:type="dxa" w:w="851"/>
            <w:tcMar>
              <w:top w:w="50" w:type="dxa"/>
              <w:bottom w:w="50" w:type="dxa"/>
              <w:left w:w="60" w:type="dxa"/>
              <w:right w:w="60" w:type="dxa"/>
            </w:tcMar>
          </w:tcPr>
          <w:p>
            <w:pPr>
              <w:spacing w:line="240" w:lineRule="auto" w:after="40" w:before="40"/>
              <w:jc w:val="right"/>
            </w:pPr>
            <w:r>
              <w:rPr>
                <w:sz w:val="15"/>
              </w:rPr>
              <w:t>-0,631</w:t>
            </w:r>
          </w:p>
        </w:tc>
      </w:tr>
      <w:tr>
        <w:tc>
          <w:tcPr>
            <w:tcW w:type="dxa" w:w="851"/>
            <w:tcMar>
              <w:top w:w="50" w:type="dxa"/>
              <w:bottom w:w="50" w:type="dxa"/>
              <w:left w:w="60" w:type="dxa"/>
              <w:right w:w="60" w:type="dxa"/>
            </w:tcMar>
          </w:tcPr>
          <w:p>
            <w:pPr>
              <w:spacing w:line="240" w:lineRule="auto" w:after="40" w:before="40"/>
              <w:jc w:val="left"/>
            </w:pPr>
            <w:r>
              <w:rPr>
                <w:sz w:val="15"/>
              </w:rPr>
              <w:t>H1: Lucro Líquido (R$ Bilhões)</w:t>
            </w:r>
          </w:p>
        </w:tc>
        <w:tc>
          <w:tcPr>
            <w:tcW w:type="dxa" w:w="851"/>
            <w:tcMar>
              <w:top w:w="50" w:type="dxa"/>
              <w:bottom w:w="50" w:type="dxa"/>
              <w:left w:w="60" w:type="dxa"/>
              <w:right w:w="60" w:type="dxa"/>
            </w:tcMar>
          </w:tcPr>
          <w:p>
            <w:pPr>
              <w:spacing w:line="240" w:lineRule="auto" w:after="40" w:before="40"/>
              <w:jc w:val="right"/>
            </w:pPr>
            <w:r>
              <w:rPr>
                <w:sz w:val="15"/>
              </w:rPr>
              <w:t>18,11</w:t>
            </w:r>
          </w:p>
        </w:tc>
        <w:tc>
          <w:tcPr>
            <w:tcW w:type="dxa" w:w="851"/>
            <w:tcMar>
              <w:top w:w="50" w:type="dxa"/>
              <w:bottom w:w="50" w:type="dxa"/>
              <w:left w:w="60" w:type="dxa"/>
              <w:right w:w="60" w:type="dxa"/>
            </w:tcMar>
          </w:tcPr>
          <w:p>
            <w:pPr>
              <w:spacing w:line="240" w:lineRule="auto" w:after="40" w:before="40"/>
              <w:jc w:val="right"/>
            </w:pPr>
            <w:r>
              <w:rPr>
                <w:sz w:val="15"/>
              </w:rPr>
              <w:t>8,54</w:t>
            </w:r>
          </w:p>
        </w:tc>
        <w:tc>
          <w:tcPr>
            <w:tcW w:type="dxa" w:w="851"/>
            <w:tcMar>
              <w:top w:w="50" w:type="dxa"/>
              <w:bottom w:w="50" w:type="dxa"/>
              <w:left w:w="60" w:type="dxa"/>
              <w:right w:w="60" w:type="dxa"/>
            </w:tcMar>
          </w:tcPr>
          <w:p>
            <w:pPr>
              <w:spacing w:line="240" w:lineRule="auto" w:after="40" w:before="40"/>
              <w:jc w:val="right"/>
            </w:pPr>
            <w:r>
              <w:rPr>
                <w:sz w:val="15"/>
              </w:rPr>
              <w:t>-9,57</w:t>
            </w:r>
          </w:p>
        </w:tc>
        <w:tc>
          <w:tcPr>
            <w:tcW w:type="dxa" w:w="851"/>
            <w:tcMar>
              <w:top w:w="50" w:type="dxa"/>
              <w:bottom w:w="50" w:type="dxa"/>
              <w:left w:w="60" w:type="dxa"/>
              <w:right w:w="60" w:type="dxa"/>
            </w:tcMar>
          </w:tcPr>
          <w:p>
            <w:pPr>
              <w:spacing w:line="240" w:lineRule="auto" w:after="40" w:before="40"/>
              <w:jc w:val="right"/>
            </w:pPr>
            <w:r>
              <w:rPr>
                <w:sz w:val="15"/>
              </w:rPr>
              <w:t>15,16</w:t>
            </w:r>
          </w:p>
        </w:tc>
        <w:tc>
          <w:tcPr>
            <w:tcW w:type="dxa" w:w="851"/>
            <w:tcMar>
              <w:top w:w="50" w:type="dxa"/>
              <w:bottom w:w="50" w:type="dxa"/>
              <w:left w:w="60" w:type="dxa"/>
              <w:right w:w="60" w:type="dxa"/>
            </w:tcMar>
          </w:tcPr>
          <w:p>
            <w:pPr>
              <w:spacing w:line="240" w:lineRule="auto" w:after="40" w:before="40"/>
              <w:jc w:val="right"/>
            </w:pPr>
            <w:r>
              <w:rPr>
                <w:sz w:val="15"/>
              </w:rPr>
              <w:t>-5,6449</w:t>
            </w:r>
          </w:p>
        </w:tc>
        <w:tc>
          <w:tcPr>
            <w:tcW w:type="dxa" w:w="851"/>
            <w:tcMar>
              <w:top w:w="50" w:type="dxa"/>
              <w:bottom w:w="50" w:type="dxa"/>
              <w:left w:w="60" w:type="dxa"/>
              <w:right w:w="60" w:type="dxa"/>
            </w:tcMar>
          </w:tcPr>
          <w:p>
            <w:pPr>
              <w:spacing w:line="240" w:lineRule="auto" w:after="40" w:before="40"/>
              <w:jc w:val="right"/>
            </w:pPr>
            <w:r>
              <w:rPr>
                <w:sz w:val="15"/>
              </w:rPr>
              <w:t>79</w:t>
            </w:r>
          </w:p>
        </w:tc>
        <w:tc>
          <w:tcPr>
            <w:tcW w:type="dxa" w:w="851"/>
            <w:tcMar>
              <w:top w:w="50" w:type="dxa"/>
              <w:bottom w:w="50" w:type="dxa"/>
              <w:left w:w="60" w:type="dxa"/>
              <w:right w:w="60" w:type="dxa"/>
            </w:tcMar>
          </w:tcPr>
          <w:p>
            <w:pPr>
              <w:spacing w:line="240" w:lineRule="auto" w:after="40" w:before="40"/>
              <w:jc w:val="right"/>
            </w:pPr>
            <w:r>
              <w:rPr>
                <w:sz w:val="15"/>
              </w:rPr>
              <w:t>&lt; 0,0001</w:t>
            </w:r>
          </w:p>
        </w:tc>
        <w:tc>
          <w:tcPr>
            <w:tcW w:type="dxa" w:w="851"/>
            <w:tcMar>
              <w:top w:w="50" w:type="dxa"/>
              <w:bottom w:w="50" w:type="dxa"/>
              <w:left w:w="60" w:type="dxa"/>
              <w:right w:w="60" w:type="dxa"/>
            </w:tcMar>
          </w:tcPr>
          <w:p>
            <w:pPr>
              <w:spacing w:line="240" w:lineRule="auto" w:after="40" w:before="40"/>
              <w:jc w:val="right"/>
            </w:pPr>
            <w:r>
              <w:rPr>
                <w:sz w:val="15"/>
              </w:rPr>
              <w:t>0,0</w:t>
            </w:r>
          </w:p>
        </w:tc>
        <w:tc>
          <w:tcPr>
            <w:tcW w:type="dxa" w:w="851"/>
            <w:tcMar>
              <w:top w:w="50" w:type="dxa"/>
              <w:bottom w:w="50" w:type="dxa"/>
              <w:left w:w="60" w:type="dxa"/>
              <w:right w:w="60" w:type="dxa"/>
            </w:tcMar>
          </w:tcPr>
          <w:p>
            <w:pPr>
              <w:spacing w:line="240" w:lineRule="auto" w:after="40" w:before="40"/>
              <w:jc w:val="right"/>
            </w:pPr>
            <w:r>
              <w:rPr>
                <w:sz w:val="15"/>
              </w:rPr>
              <w:t>&lt; 0,0001</w:t>
            </w:r>
          </w:p>
        </w:tc>
        <w:tc>
          <w:tcPr>
            <w:tcW w:type="dxa" w:w="851"/>
            <w:tcMar>
              <w:top w:w="50" w:type="dxa"/>
              <w:bottom w:w="50" w:type="dxa"/>
              <w:left w:w="60" w:type="dxa"/>
              <w:right w:w="60" w:type="dxa"/>
            </w:tcMar>
          </w:tcPr>
          <w:p>
            <w:pPr>
              <w:spacing w:line="240" w:lineRule="auto" w:after="40" w:before="40"/>
              <w:jc w:val="right"/>
            </w:pPr>
            <w:r>
              <w:rPr>
                <w:sz w:val="15"/>
              </w:rPr>
              <w:t>-0,631</w:t>
            </w:r>
          </w:p>
        </w:tc>
      </w:tr>
      <w:tr>
        <w:tc>
          <w:tcPr>
            <w:tcW w:type="dxa" w:w="851"/>
            <w:tcMar>
              <w:top w:w="50" w:type="dxa"/>
              <w:bottom w:w="50" w:type="dxa"/>
              <w:left w:w="60" w:type="dxa"/>
              <w:right w:w="60" w:type="dxa"/>
            </w:tcMar>
          </w:tcPr>
          <w:p>
            <w:pPr>
              <w:spacing w:line="240" w:lineRule="auto" w:after="40" w:before="40"/>
              <w:jc w:val="left"/>
            </w:pPr>
            <w:r>
              <w:rPr>
                <w:sz w:val="15"/>
              </w:rPr>
              <w:t>Robustez: Imobilizado Bruto (R$ B)</w:t>
            </w:r>
          </w:p>
        </w:tc>
        <w:tc>
          <w:tcPr>
            <w:tcW w:type="dxa" w:w="851"/>
            <w:tcMar>
              <w:top w:w="50" w:type="dxa"/>
              <w:bottom w:w="50" w:type="dxa"/>
              <w:left w:w="60" w:type="dxa"/>
              <w:right w:w="60" w:type="dxa"/>
            </w:tcMar>
          </w:tcPr>
          <w:p>
            <w:pPr>
              <w:spacing w:line="240" w:lineRule="auto" w:after="40" w:before="40"/>
              <w:jc w:val="right"/>
            </w:pPr>
            <w:r>
              <w:rPr>
                <w:sz w:val="15"/>
              </w:rPr>
              <w:t>280,34</w:t>
            </w:r>
          </w:p>
        </w:tc>
        <w:tc>
          <w:tcPr>
            <w:tcW w:type="dxa" w:w="851"/>
            <w:tcMar>
              <w:top w:w="50" w:type="dxa"/>
              <w:bottom w:w="50" w:type="dxa"/>
              <w:left w:w="60" w:type="dxa"/>
              <w:right w:w="60" w:type="dxa"/>
            </w:tcMar>
          </w:tcPr>
          <w:p>
            <w:pPr>
              <w:spacing w:line="240" w:lineRule="auto" w:after="40" w:before="40"/>
              <w:jc w:val="right"/>
            </w:pPr>
            <w:r>
              <w:rPr>
                <w:sz w:val="15"/>
              </w:rPr>
              <w:t>510,53</w:t>
            </w:r>
          </w:p>
        </w:tc>
        <w:tc>
          <w:tcPr>
            <w:tcW w:type="dxa" w:w="851"/>
            <w:tcMar>
              <w:top w:w="50" w:type="dxa"/>
              <w:bottom w:w="50" w:type="dxa"/>
              <w:left w:w="60" w:type="dxa"/>
              <w:right w:w="60" w:type="dxa"/>
            </w:tcMar>
          </w:tcPr>
          <w:p>
            <w:pPr>
              <w:spacing w:line="240" w:lineRule="auto" w:after="40" w:before="40"/>
              <w:jc w:val="right"/>
            </w:pPr>
            <w:r>
              <w:rPr>
                <w:sz w:val="15"/>
              </w:rPr>
              <w:t>+230,19</w:t>
            </w:r>
          </w:p>
        </w:tc>
        <w:tc>
          <w:tcPr>
            <w:tcW w:type="dxa" w:w="851"/>
            <w:tcMar>
              <w:top w:w="50" w:type="dxa"/>
              <w:bottom w:w="50" w:type="dxa"/>
              <w:left w:w="60" w:type="dxa"/>
              <w:right w:w="60" w:type="dxa"/>
            </w:tcMar>
          </w:tcPr>
          <w:p>
            <w:pPr>
              <w:spacing w:line="240" w:lineRule="auto" w:after="40" w:before="40"/>
              <w:jc w:val="right"/>
            </w:pPr>
            <w:r>
              <w:rPr>
                <w:sz w:val="15"/>
              </w:rPr>
              <w:t>345,73</w:t>
            </w:r>
          </w:p>
        </w:tc>
        <w:tc>
          <w:tcPr>
            <w:tcW w:type="dxa" w:w="851"/>
            <w:tcMar>
              <w:top w:w="50" w:type="dxa"/>
              <w:bottom w:w="50" w:type="dxa"/>
              <w:left w:w="60" w:type="dxa"/>
              <w:right w:w="60" w:type="dxa"/>
            </w:tcMar>
          </w:tcPr>
          <w:p>
            <w:pPr>
              <w:spacing w:line="240" w:lineRule="auto" w:after="40" w:before="40"/>
              <w:jc w:val="right"/>
            </w:pPr>
            <w:r>
              <w:rPr>
                <w:sz w:val="15"/>
              </w:rPr>
              <w:t>5,9552</w:t>
            </w:r>
          </w:p>
        </w:tc>
        <w:tc>
          <w:tcPr>
            <w:tcW w:type="dxa" w:w="851"/>
            <w:tcMar>
              <w:top w:w="50" w:type="dxa"/>
              <w:bottom w:w="50" w:type="dxa"/>
              <w:left w:w="60" w:type="dxa"/>
              <w:right w:w="60" w:type="dxa"/>
            </w:tcMar>
          </w:tcPr>
          <w:p>
            <w:pPr>
              <w:spacing w:line="240" w:lineRule="auto" w:after="40" w:before="40"/>
              <w:jc w:val="right"/>
            </w:pPr>
            <w:r>
              <w:rPr>
                <w:sz w:val="15"/>
              </w:rPr>
              <w:t>79</w:t>
            </w:r>
          </w:p>
        </w:tc>
        <w:tc>
          <w:tcPr>
            <w:tcW w:type="dxa" w:w="851"/>
            <w:tcMar>
              <w:top w:w="50" w:type="dxa"/>
              <w:bottom w:w="50" w:type="dxa"/>
              <w:left w:w="60" w:type="dxa"/>
              <w:right w:w="60" w:type="dxa"/>
            </w:tcMar>
          </w:tcPr>
          <w:p>
            <w:pPr>
              <w:spacing w:line="240" w:lineRule="auto" w:after="40" w:before="40"/>
              <w:jc w:val="right"/>
            </w:pPr>
            <w:r>
              <w:rPr>
                <w:sz w:val="15"/>
              </w:rPr>
              <w:t>&lt; 0,0001</w:t>
            </w:r>
          </w:p>
        </w:tc>
        <w:tc>
          <w:tcPr>
            <w:tcW w:type="dxa" w:w="851"/>
            <w:tcMar>
              <w:top w:w="50" w:type="dxa"/>
              <w:bottom w:w="50" w:type="dxa"/>
              <w:left w:w="60" w:type="dxa"/>
              <w:right w:w="60" w:type="dxa"/>
            </w:tcMar>
          </w:tcPr>
          <w:p>
            <w:pPr>
              <w:spacing w:line="240" w:lineRule="auto" w:after="40" w:before="40"/>
              <w:jc w:val="right"/>
            </w:pPr>
            <w:r>
              <w:rPr>
                <w:sz w:val="15"/>
              </w:rPr>
              <w:t>0,0</w:t>
            </w:r>
          </w:p>
        </w:tc>
        <w:tc>
          <w:tcPr>
            <w:tcW w:type="dxa" w:w="851"/>
            <w:tcMar>
              <w:top w:w="50" w:type="dxa"/>
              <w:bottom w:w="50" w:type="dxa"/>
              <w:left w:w="60" w:type="dxa"/>
              <w:right w:w="60" w:type="dxa"/>
            </w:tcMar>
          </w:tcPr>
          <w:p>
            <w:pPr>
              <w:spacing w:line="240" w:lineRule="auto" w:after="40" w:before="40"/>
              <w:jc w:val="right"/>
            </w:pPr>
            <w:r>
              <w:rPr>
                <w:sz w:val="15"/>
              </w:rPr>
              <w:t>&lt; 0,0001</w:t>
            </w:r>
          </w:p>
        </w:tc>
        <w:tc>
          <w:tcPr>
            <w:tcW w:type="dxa" w:w="851"/>
            <w:tcMar>
              <w:top w:w="50" w:type="dxa"/>
              <w:bottom w:w="50" w:type="dxa"/>
              <w:left w:w="60" w:type="dxa"/>
              <w:right w:w="60" w:type="dxa"/>
            </w:tcMar>
          </w:tcPr>
          <w:p>
            <w:pPr>
              <w:spacing w:line="240" w:lineRule="auto" w:after="40" w:before="40"/>
              <w:jc w:val="right"/>
            </w:pPr>
            <w:r>
              <w:rPr>
                <w:sz w:val="15"/>
              </w:rPr>
              <w:t>0,666</w:t>
            </w:r>
          </w:p>
        </w:tc>
      </w:tr>
      <w:tr>
        <w:tc>
          <w:tcPr>
            <w:tcW w:type="dxa" w:w="851"/>
            <w:tcMar>
              <w:top w:w="50" w:type="dxa"/>
              <w:bottom w:w="50" w:type="dxa"/>
              <w:left w:w="60" w:type="dxa"/>
              <w:right w:w="60" w:type="dxa"/>
            </w:tcMar>
          </w:tcPr>
          <w:p>
            <w:pPr>
              <w:spacing w:line="240" w:lineRule="auto" w:after="40" w:before="40"/>
              <w:jc w:val="left"/>
            </w:pPr>
            <w:r>
              <w:rPr>
                <w:sz w:val="15"/>
              </w:rPr>
              <w:t>H2: Alíquota Efetiva Real (%)</w:t>
            </w:r>
          </w:p>
        </w:tc>
        <w:tc>
          <w:tcPr>
            <w:tcW w:type="dxa" w:w="851"/>
            <w:tcMar>
              <w:top w:w="50" w:type="dxa"/>
              <w:bottom w:w="50" w:type="dxa"/>
              <w:left w:w="60" w:type="dxa"/>
              <w:right w:w="60" w:type="dxa"/>
            </w:tcMar>
          </w:tcPr>
          <w:p>
            <w:pPr>
              <w:spacing w:line="240" w:lineRule="auto" w:after="40" w:before="40"/>
              <w:jc w:val="right"/>
            </w:pPr>
            <w:r>
              <w:rPr>
                <w:sz w:val="15"/>
              </w:rPr>
              <w:t>34,00%</w:t>
            </w:r>
          </w:p>
        </w:tc>
        <w:tc>
          <w:tcPr>
            <w:tcW w:type="dxa" w:w="851"/>
            <w:tcMar>
              <w:top w:w="50" w:type="dxa"/>
              <w:bottom w:w="50" w:type="dxa"/>
              <w:left w:w="60" w:type="dxa"/>
              <w:right w:w="60" w:type="dxa"/>
            </w:tcMar>
          </w:tcPr>
          <w:p>
            <w:pPr>
              <w:spacing w:line="240" w:lineRule="auto" w:after="40" w:before="40"/>
              <w:jc w:val="right"/>
            </w:pPr>
            <w:r>
              <w:rPr>
                <w:sz w:val="15"/>
              </w:rPr>
              <w:t>139,11%</w:t>
            </w:r>
          </w:p>
        </w:tc>
        <w:tc>
          <w:tcPr>
            <w:tcW w:type="dxa" w:w="851"/>
            <w:tcMar>
              <w:top w:w="50" w:type="dxa"/>
              <w:bottom w:w="50" w:type="dxa"/>
              <w:left w:w="60" w:type="dxa"/>
              <w:right w:w="60" w:type="dxa"/>
            </w:tcMar>
          </w:tcPr>
          <w:p>
            <w:pPr>
              <w:spacing w:line="240" w:lineRule="auto" w:after="40" w:before="40"/>
              <w:jc w:val="right"/>
            </w:pPr>
            <w:r>
              <w:rPr>
                <w:sz w:val="15"/>
              </w:rPr>
              <w:t>+105,11%</w:t>
            </w:r>
          </w:p>
        </w:tc>
        <w:tc>
          <w:tcPr>
            <w:tcW w:type="dxa" w:w="851"/>
            <w:tcMar>
              <w:top w:w="50" w:type="dxa"/>
              <w:bottom w:w="50" w:type="dxa"/>
              <w:left w:w="60" w:type="dxa"/>
              <w:right w:w="60" w:type="dxa"/>
            </w:tcMar>
          </w:tcPr>
          <w:p>
            <w:pPr>
              <w:spacing w:line="240" w:lineRule="auto" w:after="40" w:before="40"/>
              <w:jc w:val="right"/>
            </w:pPr>
            <w:r>
              <w:rPr>
                <w:sz w:val="15"/>
              </w:rPr>
              <w:t>432,17</w:t>
            </w:r>
          </w:p>
        </w:tc>
        <w:tc>
          <w:tcPr>
            <w:tcW w:type="dxa" w:w="851"/>
            <w:tcMar>
              <w:top w:w="50" w:type="dxa"/>
              <w:bottom w:w="50" w:type="dxa"/>
              <w:left w:w="60" w:type="dxa"/>
              <w:right w:w="60" w:type="dxa"/>
            </w:tcMar>
          </w:tcPr>
          <w:p>
            <w:pPr>
              <w:spacing w:line="240" w:lineRule="auto" w:after="40" w:before="40"/>
              <w:jc w:val="right"/>
            </w:pPr>
            <w:r>
              <w:rPr>
                <w:sz w:val="15"/>
              </w:rPr>
              <w:t>2,1063</w:t>
            </w:r>
          </w:p>
        </w:tc>
        <w:tc>
          <w:tcPr>
            <w:tcW w:type="dxa" w:w="851"/>
            <w:tcMar>
              <w:top w:w="50" w:type="dxa"/>
              <w:bottom w:w="50" w:type="dxa"/>
              <w:left w:w="60" w:type="dxa"/>
              <w:right w:w="60" w:type="dxa"/>
            </w:tcMar>
          </w:tcPr>
          <w:p>
            <w:pPr>
              <w:spacing w:line="240" w:lineRule="auto" w:after="40" w:before="40"/>
              <w:jc w:val="right"/>
            </w:pPr>
            <w:r>
              <w:rPr>
                <w:sz w:val="15"/>
              </w:rPr>
              <w:t>74</w:t>
            </w:r>
          </w:p>
        </w:tc>
        <w:tc>
          <w:tcPr>
            <w:tcW w:type="dxa" w:w="851"/>
            <w:tcMar>
              <w:top w:w="50" w:type="dxa"/>
              <w:bottom w:w="50" w:type="dxa"/>
              <w:left w:w="60" w:type="dxa"/>
              <w:right w:w="60" w:type="dxa"/>
            </w:tcMar>
          </w:tcPr>
          <w:p>
            <w:pPr>
              <w:spacing w:line="240" w:lineRule="auto" w:after="40" w:before="40"/>
              <w:jc w:val="right"/>
            </w:pPr>
            <w:r>
              <w:rPr>
                <w:sz w:val="15"/>
              </w:rPr>
              <w:t>0,0385</w:t>
            </w:r>
          </w:p>
        </w:tc>
        <w:tc>
          <w:tcPr>
            <w:tcW w:type="dxa" w:w="851"/>
            <w:tcMar>
              <w:top w:w="50" w:type="dxa"/>
              <w:bottom w:w="50" w:type="dxa"/>
              <w:left w:w="60" w:type="dxa"/>
              <w:right w:w="60" w:type="dxa"/>
            </w:tcMar>
          </w:tcPr>
          <w:p>
            <w:pPr>
              <w:spacing w:line="240" w:lineRule="auto" w:after="40" w:before="40"/>
              <w:jc w:val="right"/>
            </w:pPr>
            <w:r>
              <w:rPr>
                <w:sz w:val="15"/>
              </w:rPr>
              <w:t>0,0</w:t>
            </w:r>
          </w:p>
        </w:tc>
        <w:tc>
          <w:tcPr>
            <w:tcW w:type="dxa" w:w="851"/>
            <w:tcMar>
              <w:top w:w="50" w:type="dxa"/>
              <w:bottom w:w="50" w:type="dxa"/>
              <w:left w:w="60" w:type="dxa"/>
              <w:right w:w="60" w:type="dxa"/>
            </w:tcMar>
          </w:tcPr>
          <w:p>
            <w:pPr>
              <w:spacing w:line="240" w:lineRule="auto" w:after="40" w:before="40"/>
              <w:jc w:val="right"/>
            </w:pPr>
            <w:r>
              <w:rPr>
                <w:sz w:val="15"/>
              </w:rPr>
              <w:t>&lt; 0,0001</w:t>
            </w:r>
          </w:p>
        </w:tc>
        <w:tc>
          <w:tcPr>
            <w:tcW w:type="dxa" w:w="851"/>
            <w:tcMar>
              <w:top w:w="50" w:type="dxa"/>
              <w:bottom w:w="50" w:type="dxa"/>
              <w:left w:w="60" w:type="dxa"/>
              <w:right w:w="60" w:type="dxa"/>
            </w:tcMar>
          </w:tcPr>
          <w:p>
            <w:pPr>
              <w:spacing w:line="240" w:lineRule="auto" w:after="40" w:before="40"/>
              <w:jc w:val="right"/>
            </w:pPr>
            <w:r>
              <w:rPr>
                <w:sz w:val="15"/>
              </w:rPr>
              <w:t>0,243</w:t>
            </w:r>
          </w:p>
        </w:tc>
      </w:tr>
      <w:tr>
        <w:tc>
          <w:tcPr>
            <w:tcW w:type="dxa" w:w="851"/>
            <w:tcMar>
              <w:top w:w="50" w:type="dxa"/>
              <w:bottom w:w="50" w:type="dxa"/>
              <w:left w:w="60" w:type="dxa"/>
              <w:right w:w="60" w:type="dxa"/>
            </w:tcMar>
          </w:tcPr>
          <w:p>
            <w:pPr>
              <w:spacing w:line="240" w:lineRule="auto" w:after="40" w:before="40"/>
              <w:jc w:val="left"/>
            </w:pPr>
            <w:r>
              <w:rPr>
                <w:sz w:val="15"/>
              </w:rPr>
              <w:t>Robustez IGP-M: Depreciação (R$ B)</w:t>
            </w:r>
          </w:p>
        </w:tc>
        <w:tc>
          <w:tcPr>
            <w:tcW w:type="dxa" w:w="851"/>
            <w:tcMar>
              <w:top w:w="50" w:type="dxa"/>
              <w:bottom w:w="50" w:type="dxa"/>
              <w:left w:w="60" w:type="dxa"/>
              <w:right w:w="60" w:type="dxa"/>
            </w:tcMar>
          </w:tcPr>
          <w:p>
            <w:pPr>
              <w:spacing w:line="240" w:lineRule="auto" w:after="40" w:before="40"/>
              <w:jc w:val="right"/>
            </w:pPr>
            <w:r>
              <w:rPr>
                <w:sz w:val="15"/>
              </w:rPr>
              <w:t>11,66</w:t>
            </w:r>
          </w:p>
        </w:tc>
        <w:tc>
          <w:tcPr>
            <w:tcW w:type="dxa" w:w="851"/>
            <w:tcMar>
              <w:top w:w="50" w:type="dxa"/>
              <w:bottom w:w="50" w:type="dxa"/>
              <w:left w:w="60" w:type="dxa"/>
              <w:right w:w="60" w:type="dxa"/>
            </w:tcMar>
          </w:tcPr>
          <w:p>
            <w:pPr>
              <w:spacing w:line="240" w:lineRule="auto" w:after="40" w:before="40"/>
              <w:jc w:val="right"/>
            </w:pPr>
            <w:r>
              <w:rPr>
                <w:sz w:val="15"/>
              </w:rPr>
              <w:t>21,98</w:t>
            </w:r>
          </w:p>
        </w:tc>
        <w:tc>
          <w:tcPr>
            <w:tcW w:type="dxa" w:w="851"/>
            <w:tcMar>
              <w:top w:w="50" w:type="dxa"/>
              <w:bottom w:w="50" w:type="dxa"/>
              <w:left w:w="60" w:type="dxa"/>
              <w:right w:w="60" w:type="dxa"/>
            </w:tcMar>
          </w:tcPr>
          <w:p>
            <w:pPr>
              <w:spacing w:line="240" w:lineRule="auto" w:after="40" w:before="40"/>
              <w:jc w:val="right"/>
            </w:pPr>
            <w:r>
              <w:rPr>
                <w:sz w:val="15"/>
              </w:rPr>
              <w:t>+10,33</w:t>
            </w:r>
          </w:p>
        </w:tc>
        <w:tc>
          <w:tcPr>
            <w:tcW w:type="dxa" w:w="851"/>
            <w:tcMar>
              <w:top w:w="50" w:type="dxa"/>
              <w:bottom w:w="50" w:type="dxa"/>
              <w:left w:w="60" w:type="dxa"/>
              <w:right w:w="60" w:type="dxa"/>
            </w:tcMar>
          </w:tcPr>
          <w:p>
            <w:pPr>
              <w:spacing w:line="240" w:lineRule="auto" w:after="40" w:before="40"/>
              <w:jc w:val="right"/>
            </w:pPr>
            <w:r>
              <w:rPr>
                <w:sz w:val="15"/>
              </w:rPr>
              <w:t>16,90</w:t>
            </w:r>
          </w:p>
        </w:tc>
        <w:tc>
          <w:tcPr>
            <w:tcW w:type="dxa" w:w="851"/>
            <w:tcMar>
              <w:top w:w="50" w:type="dxa"/>
              <w:bottom w:w="50" w:type="dxa"/>
              <w:left w:w="60" w:type="dxa"/>
              <w:right w:w="60" w:type="dxa"/>
            </w:tcMar>
          </w:tcPr>
          <w:p>
            <w:pPr>
              <w:spacing w:line="240" w:lineRule="auto" w:after="40" w:before="40"/>
              <w:jc w:val="right"/>
            </w:pPr>
            <w:r>
              <w:rPr>
                <w:sz w:val="15"/>
              </w:rPr>
              <w:t>5,4646</w:t>
            </w:r>
          </w:p>
        </w:tc>
        <w:tc>
          <w:tcPr>
            <w:tcW w:type="dxa" w:w="851"/>
            <w:tcMar>
              <w:top w:w="50" w:type="dxa"/>
              <w:bottom w:w="50" w:type="dxa"/>
              <w:left w:w="60" w:type="dxa"/>
              <w:right w:w="60" w:type="dxa"/>
            </w:tcMar>
          </w:tcPr>
          <w:p>
            <w:pPr>
              <w:spacing w:line="240" w:lineRule="auto" w:after="40" w:before="40"/>
              <w:jc w:val="right"/>
            </w:pPr>
            <w:r>
              <w:rPr>
                <w:sz w:val="15"/>
              </w:rPr>
              <w:t>79</w:t>
            </w:r>
          </w:p>
        </w:tc>
        <w:tc>
          <w:tcPr>
            <w:tcW w:type="dxa" w:w="851"/>
            <w:tcMar>
              <w:top w:w="50" w:type="dxa"/>
              <w:bottom w:w="50" w:type="dxa"/>
              <w:left w:w="60" w:type="dxa"/>
              <w:right w:w="60" w:type="dxa"/>
            </w:tcMar>
          </w:tcPr>
          <w:p>
            <w:pPr>
              <w:spacing w:line="240" w:lineRule="auto" w:after="40" w:before="40"/>
              <w:jc w:val="right"/>
            </w:pPr>
            <w:r>
              <w:rPr>
                <w:sz w:val="15"/>
              </w:rPr>
              <w:t>&lt; 0,0001</w:t>
            </w:r>
          </w:p>
        </w:tc>
        <w:tc>
          <w:tcPr>
            <w:tcW w:type="dxa" w:w="851"/>
            <w:tcMar>
              <w:top w:w="50" w:type="dxa"/>
              <w:bottom w:w="50" w:type="dxa"/>
              <w:left w:w="60" w:type="dxa"/>
              <w:right w:w="60" w:type="dxa"/>
            </w:tcMar>
          </w:tcPr>
          <w:p>
            <w:pPr>
              <w:spacing w:line="240" w:lineRule="auto" w:after="40" w:before="40"/>
              <w:jc w:val="right"/>
            </w:pPr>
            <w:r>
              <w:rPr>
                <w:sz w:val="15"/>
              </w:rPr>
              <w:t>0,0</w:t>
            </w:r>
          </w:p>
        </w:tc>
        <w:tc>
          <w:tcPr>
            <w:tcW w:type="dxa" w:w="851"/>
            <w:tcMar>
              <w:top w:w="50" w:type="dxa"/>
              <w:bottom w:w="50" w:type="dxa"/>
              <w:left w:w="60" w:type="dxa"/>
              <w:right w:w="60" w:type="dxa"/>
            </w:tcMar>
          </w:tcPr>
          <w:p>
            <w:pPr>
              <w:spacing w:line="240" w:lineRule="auto" w:after="40" w:before="40"/>
              <w:jc w:val="right"/>
            </w:pPr>
            <w:r>
              <w:rPr>
                <w:sz w:val="15"/>
              </w:rPr>
              <w:t>&lt; 0,0001</w:t>
            </w:r>
          </w:p>
        </w:tc>
        <w:tc>
          <w:tcPr>
            <w:tcW w:type="dxa" w:w="851"/>
            <w:tcMar>
              <w:top w:w="50" w:type="dxa"/>
              <w:bottom w:w="50" w:type="dxa"/>
              <w:left w:w="60" w:type="dxa"/>
              <w:right w:w="60" w:type="dxa"/>
            </w:tcMar>
          </w:tcPr>
          <w:p>
            <w:pPr>
              <w:spacing w:line="240" w:lineRule="auto" w:after="40" w:before="40"/>
              <w:jc w:val="right"/>
            </w:pPr>
            <w:r>
              <w:rPr>
                <w:sz w:val="15"/>
              </w:rPr>
              <w:t>0,611</w:t>
            </w:r>
          </w:p>
        </w:tc>
      </w:tr>
      <w:tr>
        <w:tc>
          <w:tcPr>
            <w:tcW w:type="dxa" w:w="851"/>
            <w:shd w:fill="F2F2F2"/>
            <w:tcMar>
              <w:top w:w="50" w:type="dxa"/>
              <w:bottom w:w="50" w:type="dxa"/>
              <w:left w:w="60" w:type="dxa"/>
              <w:right w:w="60" w:type="dxa"/>
            </w:tcMar>
          </w:tcPr>
          <w:p>
            <w:pPr>
              <w:spacing w:line="240" w:lineRule="auto" w:after="40" w:before="40"/>
              <w:jc w:val="left"/>
            </w:pPr>
            <w:r>
              <w:rPr>
                <w:b/>
                <w:sz w:val="15"/>
              </w:rPr>
              <w:t>Robustez IGP-M: Lucro Líquido (R$ B)</w:t>
            </w:r>
          </w:p>
        </w:tc>
        <w:tc>
          <w:tcPr>
            <w:tcW w:type="dxa" w:w="851"/>
            <w:shd w:fill="F2F2F2"/>
            <w:tcMar>
              <w:top w:w="50" w:type="dxa"/>
              <w:bottom w:w="50" w:type="dxa"/>
              <w:left w:w="60" w:type="dxa"/>
              <w:right w:w="60" w:type="dxa"/>
            </w:tcMar>
          </w:tcPr>
          <w:p>
            <w:pPr>
              <w:spacing w:line="240" w:lineRule="auto" w:after="40" w:before="40"/>
              <w:jc w:val="right"/>
            </w:pPr>
            <w:r>
              <w:rPr>
                <w:b/>
                <w:sz w:val="15"/>
              </w:rPr>
              <w:t>18,11</w:t>
            </w:r>
          </w:p>
        </w:tc>
        <w:tc>
          <w:tcPr>
            <w:tcW w:type="dxa" w:w="851"/>
            <w:shd w:fill="F2F2F2"/>
            <w:tcMar>
              <w:top w:w="50" w:type="dxa"/>
              <w:bottom w:w="50" w:type="dxa"/>
              <w:left w:w="60" w:type="dxa"/>
              <w:right w:w="60" w:type="dxa"/>
            </w:tcMar>
          </w:tcPr>
          <w:p>
            <w:pPr>
              <w:spacing w:line="240" w:lineRule="auto" w:after="40" w:before="40"/>
              <w:jc w:val="right"/>
            </w:pPr>
            <w:r>
              <w:rPr>
                <w:b/>
                <w:sz w:val="15"/>
              </w:rPr>
              <w:t>7,79</w:t>
            </w:r>
          </w:p>
        </w:tc>
        <w:tc>
          <w:tcPr>
            <w:tcW w:type="dxa" w:w="851"/>
            <w:shd w:fill="F2F2F2"/>
            <w:tcMar>
              <w:top w:w="50" w:type="dxa"/>
              <w:bottom w:w="50" w:type="dxa"/>
              <w:left w:w="60" w:type="dxa"/>
              <w:right w:w="60" w:type="dxa"/>
            </w:tcMar>
          </w:tcPr>
          <w:p>
            <w:pPr>
              <w:spacing w:line="240" w:lineRule="auto" w:after="40" w:before="40"/>
              <w:jc w:val="right"/>
            </w:pPr>
            <w:r>
              <w:rPr>
                <w:b/>
                <w:sz w:val="15"/>
              </w:rPr>
              <w:t>-10,33</w:t>
            </w:r>
          </w:p>
        </w:tc>
        <w:tc>
          <w:tcPr>
            <w:tcW w:type="dxa" w:w="851"/>
            <w:shd w:fill="F2F2F2"/>
            <w:tcMar>
              <w:top w:w="50" w:type="dxa"/>
              <w:bottom w:w="50" w:type="dxa"/>
              <w:left w:w="60" w:type="dxa"/>
              <w:right w:w="60" w:type="dxa"/>
            </w:tcMar>
          </w:tcPr>
          <w:p>
            <w:pPr>
              <w:spacing w:line="240" w:lineRule="auto" w:after="40" w:before="40"/>
              <w:jc w:val="right"/>
            </w:pPr>
            <w:r>
              <w:rPr>
                <w:b/>
                <w:sz w:val="15"/>
              </w:rPr>
              <w:t>16,90</w:t>
            </w:r>
          </w:p>
        </w:tc>
        <w:tc>
          <w:tcPr>
            <w:tcW w:type="dxa" w:w="851"/>
            <w:shd w:fill="F2F2F2"/>
            <w:tcMar>
              <w:top w:w="50" w:type="dxa"/>
              <w:bottom w:w="50" w:type="dxa"/>
              <w:left w:w="60" w:type="dxa"/>
              <w:right w:w="60" w:type="dxa"/>
            </w:tcMar>
          </w:tcPr>
          <w:p>
            <w:pPr>
              <w:spacing w:line="240" w:lineRule="auto" w:after="40" w:before="40"/>
              <w:jc w:val="right"/>
            </w:pPr>
            <w:r>
              <w:rPr>
                <w:b/>
                <w:sz w:val="15"/>
              </w:rPr>
              <w:t>-5,4646</w:t>
            </w:r>
          </w:p>
        </w:tc>
        <w:tc>
          <w:tcPr>
            <w:tcW w:type="dxa" w:w="851"/>
            <w:shd w:fill="F2F2F2"/>
            <w:tcMar>
              <w:top w:w="50" w:type="dxa"/>
              <w:bottom w:w="50" w:type="dxa"/>
              <w:left w:w="60" w:type="dxa"/>
              <w:right w:w="60" w:type="dxa"/>
            </w:tcMar>
          </w:tcPr>
          <w:p>
            <w:pPr>
              <w:spacing w:line="240" w:lineRule="auto" w:after="40" w:before="40"/>
              <w:jc w:val="right"/>
            </w:pPr>
            <w:r>
              <w:rPr>
                <w:b/>
                <w:sz w:val="15"/>
              </w:rPr>
              <w:t>79</w:t>
            </w:r>
          </w:p>
        </w:tc>
        <w:tc>
          <w:tcPr>
            <w:tcW w:type="dxa" w:w="851"/>
            <w:shd w:fill="F2F2F2"/>
            <w:tcMar>
              <w:top w:w="50" w:type="dxa"/>
              <w:bottom w:w="50" w:type="dxa"/>
              <w:left w:w="60" w:type="dxa"/>
              <w:right w:w="60" w:type="dxa"/>
            </w:tcMar>
          </w:tcPr>
          <w:p>
            <w:pPr>
              <w:spacing w:line="240" w:lineRule="auto" w:after="40" w:before="40"/>
              <w:jc w:val="right"/>
            </w:pPr>
            <w:r>
              <w:rPr>
                <w:b/>
                <w:sz w:val="15"/>
              </w:rPr>
              <w:t>&lt; 0,0001</w:t>
            </w:r>
          </w:p>
        </w:tc>
        <w:tc>
          <w:tcPr>
            <w:tcW w:type="dxa" w:w="851"/>
            <w:shd w:fill="F2F2F2"/>
            <w:tcMar>
              <w:top w:w="50" w:type="dxa"/>
              <w:bottom w:w="50" w:type="dxa"/>
              <w:left w:w="60" w:type="dxa"/>
              <w:right w:w="60" w:type="dxa"/>
            </w:tcMar>
          </w:tcPr>
          <w:p>
            <w:pPr>
              <w:spacing w:line="240" w:lineRule="auto" w:after="40" w:before="40"/>
              <w:jc w:val="right"/>
            </w:pPr>
            <w:r>
              <w:rPr>
                <w:b/>
                <w:sz w:val="15"/>
              </w:rPr>
              <w:t>0,0</w:t>
            </w:r>
          </w:p>
        </w:tc>
        <w:tc>
          <w:tcPr>
            <w:tcW w:type="dxa" w:w="851"/>
            <w:shd w:fill="F2F2F2"/>
            <w:tcMar>
              <w:top w:w="50" w:type="dxa"/>
              <w:bottom w:w="50" w:type="dxa"/>
              <w:left w:w="60" w:type="dxa"/>
              <w:right w:w="60" w:type="dxa"/>
            </w:tcMar>
          </w:tcPr>
          <w:p>
            <w:pPr>
              <w:spacing w:line="240" w:lineRule="auto" w:after="40" w:before="40"/>
              <w:jc w:val="right"/>
            </w:pPr>
            <w:r>
              <w:rPr>
                <w:b/>
                <w:sz w:val="15"/>
              </w:rPr>
              <w:t>&lt; 0,0001</w:t>
            </w:r>
          </w:p>
        </w:tc>
        <w:tc>
          <w:tcPr>
            <w:tcW w:type="dxa" w:w="851"/>
            <w:shd w:fill="F2F2F2"/>
            <w:tcMar>
              <w:top w:w="50" w:type="dxa"/>
              <w:bottom w:w="50" w:type="dxa"/>
              <w:left w:w="60" w:type="dxa"/>
              <w:right w:w="60" w:type="dxa"/>
            </w:tcMar>
          </w:tcPr>
          <w:p>
            <w:pPr>
              <w:spacing w:line="240" w:lineRule="auto" w:after="40" w:before="40"/>
              <w:jc w:val="right"/>
            </w:pPr>
            <w:r>
              <w:rPr>
                <w:b/>
                <w:sz w:val="15"/>
              </w:rPr>
              <w:t>-0,611</w:t>
            </w:r>
          </w:p>
        </w:tc>
      </w:tr>
    </w:tbl>
    <w:p>
      <w:pPr>
        <w:spacing w:before="40" w:after="160"/>
      </w:pPr>
      <w:r>
        <w:rPr>
          <w:i/>
          <w:sz w:val="17"/>
        </w:rPr>
        <w:t>Fonte: Elaborada pelos autores a partir do processamento estatístico do painel CVM (2016-2025).</w:t>
      </w:r>
    </w:p>
    <w:p>
      <w:pPr>
        <w:spacing w:before="240" w:after="80" w:line="276" w:lineRule="auto"/>
      </w:pPr>
      <w:r>
        <w:rPr>
          <w:b/>
          <w:color w:val="000000"/>
          <w:sz w:val="24"/>
        </w:rPr>
        <w:t>4.6 Teste de Robustez e Análise de Sensibilidade: INCC versus IGP-M</w:t>
      </w:r>
    </w:p>
    <w:p>
      <w:pPr>
        <w:spacing w:line="360" w:lineRule="auto" w:after="120"/>
        <w:jc w:val="both"/>
      </w:pPr>
      <w:r>
        <w:t>A Tabela 2 apresenta a evolução temporal agregada ano a ano das distorções sob as métricas do INCC e do IGP-M. A comparação entre ambos os índices comprovou a robustez e estabilidade do modelo. O IGP-M exibiu maior volatilidade nos exercícios de 2020 e 2021 em decorrência do repasse da maxidesvalorização cambial ao IPA, gerando um impacto acumulado de R$ 278,9 bilhões em tributos ocultos (contra R$ 258,9 bilhões no INCC). A convergência de significância estatística entre ambos os índices (p &lt; 0,0001 em ambos os testes) ratifica que os achados independem da escolha específica do indexador de preços.</w:t>
      </w:r>
    </w:p>
    <w:p>
      <w:pPr>
        <w:spacing w:before="160" w:after="80"/>
      </w:pPr>
      <w:r>
        <w:rPr>
          <w:b/>
        </w:rPr>
        <w:t xml:space="preserve">Tabela 2. </w:t>
      </w:r>
      <w:r>
        <w:t>Análise temporal comparativa das distorções agregadas: INCC vs. IGP-M (2016 a 2025)</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AEAEA"/>
            <w:tcMar>
              <w:top w:w="50" w:type="dxa"/>
              <w:bottom w:w="50" w:type="dxa"/>
              <w:left w:w="60" w:type="dxa"/>
              <w:right w:w="60" w:type="dxa"/>
            </w:tcMar>
          </w:tcPr>
          <w:p>
            <w:pPr>
              <w:spacing w:line="240" w:lineRule="auto" w:after="40" w:before="40"/>
              <w:jc w:val="center"/>
            </w:pPr>
            <w:r>
              <w:rPr>
                <w:b/>
                <w:sz w:val="16"/>
              </w:rPr>
              <w:t>Ano</w:t>
            </w:r>
          </w:p>
        </w:tc>
        <w:tc>
          <w:tcPr>
            <w:tcW w:type="dxa" w:w="1337"/>
            <w:shd w:fill="EAEAEA"/>
            <w:tcMar>
              <w:top w:w="50" w:type="dxa"/>
              <w:bottom w:w="50" w:type="dxa"/>
              <w:left w:w="60" w:type="dxa"/>
              <w:right w:w="60" w:type="dxa"/>
            </w:tcMar>
          </w:tcPr>
          <w:p>
            <w:pPr>
              <w:spacing w:line="240" w:lineRule="auto" w:after="40" w:before="40"/>
              <w:jc w:val="center"/>
            </w:pPr>
            <w:r>
              <w:rPr>
                <w:b/>
                <w:sz w:val="16"/>
              </w:rPr>
              <w:t>INCC Acum. (%)</w:t>
            </w:r>
          </w:p>
        </w:tc>
        <w:tc>
          <w:tcPr>
            <w:tcW w:type="dxa" w:w="1337"/>
            <w:shd w:fill="EAEAEA"/>
            <w:tcMar>
              <w:top w:w="50" w:type="dxa"/>
              <w:bottom w:w="50" w:type="dxa"/>
              <w:left w:w="60" w:type="dxa"/>
              <w:right w:w="60" w:type="dxa"/>
            </w:tcMar>
          </w:tcPr>
          <w:p>
            <w:pPr>
              <w:spacing w:line="240" w:lineRule="auto" w:after="40" w:before="40"/>
              <w:jc w:val="center"/>
            </w:pPr>
            <w:r>
              <w:rPr>
                <w:b/>
                <w:sz w:val="16"/>
              </w:rPr>
              <w:t>IGP-M Acum. (%)</w:t>
            </w:r>
          </w:p>
        </w:tc>
        <w:tc>
          <w:tcPr>
            <w:tcW w:type="dxa" w:w="1337"/>
            <w:shd w:fill="EAEAEA"/>
            <w:tcMar>
              <w:top w:w="50" w:type="dxa"/>
              <w:bottom w:w="50" w:type="dxa"/>
              <w:left w:w="60" w:type="dxa"/>
              <w:right w:w="60" w:type="dxa"/>
            </w:tcMar>
          </w:tcPr>
          <w:p>
            <w:pPr>
              <w:spacing w:line="240" w:lineRule="auto" w:after="40" w:before="40"/>
              <w:jc w:val="center"/>
            </w:pPr>
            <w:r>
              <w:rPr>
                <w:b/>
                <w:sz w:val="16"/>
              </w:rPr>
              <w:t>Delta Deprec. INCC (R$ B)</w:t>
            </w:r>
          </w:p>
        </w:tc>
        <w:tc>
          <w:tcPr>
            <w:tcW w:type="dxa" w:w="1337"/>
            <w:shd w:fill="EAEAEA"/>
            <w:tcMar>
              <w:top w:w="50" w:type="dxa"/>
              <w:bottom w:w="50" w:type="dxa"/>
              <w:left w:w="60" w:type="dxa"/>
              <w:right w:w="60" w:type="dxa"/>
            </w:tcMar>
          </w:tcPr>
          <w:p>
            <w:pPr>
              <w:spacing w:line="240" w:lineRule="auto" w:after="40" w:before="40"/>
              <w:jc w:val="center"/>
            </w:pPr>
            <w:r>
              <w:rPr>
                <w:b/>
                <w:sz w:val="16"/>
              </w:rPr>
              <w:t>Delta Deprec. IGP-M (R$ B)</w:t>
            </w:r>
          </w:p>
        </w:tc>
        <w:tc>
          <w:tcPr>
            <w:tcW w:type="dxa" w:w="1337"/>
            <w:shd w:fill="EAEAEA"/>
            <w:tcMar>
              <w:top w:w="50" w:type="dxa"/>
              <w:bottom w:w="50" w:type="dxa"/>
              <w:left w:w="60" w:type="dxa"/>
              <w:right w:w="60" w:type="dxa"/>
            </w:tcMar>
          </w:tcPr>
          <w:p>
            <w:pPr>
              <w:spacing w:line="240" w:lineRule="auto" w:after="40" w:before="40"/>
              <w:jc w:val="center"/>
            </w:pPr>
            <w:r>
              <w:rPr>
                <w:b/>
                <w:sz w:val="16"/>
              </w:rPr>
              <w:t>Tributo Oculto INCC (R$ B)</w:t>
            </w:r>
          </w:p>
        </w:tc>
        <w:tc>
          <w:tcPr>
            <w:tcW w:type="dxa" w:w="1337"/>
            <w:shd w:fill="EAEAEA"/>
            <w:tcMar>
              <w:top w:w="50" w:type="dxa"/>
              <w:bottom w:w="50" w:type="dxa"/>
              <w:left w:w="60" w:type="dxa"/>
              <w:right w:w="60" w:type="dxa"/>
            </w:tcMar>
          </w:tcPr>
          <w:p>
            <w:pPr>
              <w:spacing w:line="240" w:lineRule="auto" w:after="40" w:before="40"/>
              <w:jc w:val="center"/>
            </w:pPr>
            <w:r>
              <w:rPr>
                <w:b/>
                <w:sz w:val="16"/>
              </w:rPr>
              <w:t>Tributo Oculto IGP-M (R$ B)</w:t>
            </w:r>
          </w:p>
        </w:tc>
      </w:tr>
      <w:tr>
        <w:tc>
          <w:tcPr>
            <w:tcW w:type="dxa" w:w="1337"/>
            <w:tcMar>
              <w:top w:w="50" w:type="dxa"/>
              <w:bottom w:w="50" w:type="dxa"/>
              <w:left w:w="60" w:type="dxa"/>
              <w:right w:w="60" w:type="dxa"/>
            </w:tcMar>
          </w:tcPr>
          <w:p>
            <w:pPr>
              <w:spacing w:line="240" w:lineRule="auto" w:after="40" w:before="40"/>
              <w:jc w:val="left"/>
            </w:pPr>
            <w:r>
              <w:rPr>
                <w:sz w:val="16"/>
              </w:rPr>
              <w:t>2016</w:t>
            </w:r>
          </w:p>
        </w:tc>
        <w:tc>
          <w:tcPr>
            <w:tcW w:type="dxa" w:w="1337"/>
            <w:tcMar>
              <w:top w:w="50" w:type="dxa"/>
              <w:bottom w:w="50" w:type="dxa"/>
              <w:left w:w="60" w:type="dxa"/>
              <w:right w:w="60" w:type="dxa"/>
            </w:tcMar>
          </w:tcPr>
          <w:p>
            <w:pPr>
              <w:spacing w:line="240" w:lineRule="auto" w:after="40" w:before="40"/>
              <w:jc w:val="right"/>
            </w:pPr>
            <w:r>
              <w:rPr>
                <w:sz w:val="16"/>
              </w:rPr>
              <w:t>48,0%</w:t>
            </w:r>
          </w:p>
        </w:tc>
        <w:tc>
          <w:tcPr>
            <w:tcW w:type="dxa" w:w="1337"/>
            <w:tcMar>
              <w:top w:w="50" w:type="dxa"/>
              <w:bottom w:w="50" w:type="dxa"/>
              <w:left w:w="60" w:type="dxa"/>
              <w:right w:w="60" w:type="dxa"/>
            </w:tcMar>
          </w:tcPr>
          <w:p>
            <w:pPr>
              <w:spacing w:line="240" w:lineRule="auto" w:after="40" w:before="40"/>
              <w:jc w:val="right"/>
            </w:pPr>
            <w:r>
              <w:rPr>
                <w:sz w:val="16"/>
              </w:rPr>
              <w:t>43,4%</w:t>
            </w:r>
          </w:p>
        </w:tc>
        <w:tc>
          <w:tcPr>
            <w:tcW w:type="dxa" w:w="1337"/>
            <w:tcMar>
              <w:top w:w="50" w:type="dxa"/>
              <w:bottom w:w="50" w:type="dxa"/>
              <w:left w:w="60" w:type="dxa"/>
              <w:right w:w="60" w:type="dxa"/>
            </w:tcMar>
          </w:tcPr>
          <w:p>
            <w:pPr>
              <w:spacing w:line="240" w:lineRule="auto" w:after="40" w:before="40"/>
              <w:jc w:val="right"/>
            </w:pPr>
            <w:r>
              <w:rPr>
                <w:sz w:val="16"/>
              </w:rPr>
              <w:t>39,0</w:t>
            </w:r>
          </w:p>
        </w:tc>
        <w:tc>
          <w:tcPr>
            <w:tcW w:type="dxa" w:w="1337"/>
            <w:tcMar>
              <w:top w:w="50" w:type="dxa"/>
              <w:bottom w:w="50" w:type="dxa"/>
              <w:left w:w="60" w:type="dxa"/>
              <w:right w:w="60" w:type="dxa"/>
            </w:tcMar>
          </w:tcPr>
          <w:p>
            <w:pPr>
              <w:spacing w:line="240" w:lineRule="auto" w:after="40" w:before="40"/>
              <w:jc w:val="right"/>
            </w:pPr>
            <w:r>
              <w:rPr>
                <w:sz w:val="16"/>
              </w:rPr>
              <w:t>33,6</w:t>
            </w:r>
          </w:p>
        </w:tc>
        <w:tc>
          <w:tcPr>
            <w:tcW w:type="dxa" w:w="1337"/>
            <w:tcMar>
              <w:top w:w="50" w:type="dxa"/>
              <w:bottom w:w="50" w:type="dxa"/>
              <w:left w:w="60" w:type="dxa"/>
              <w:right w:w="60" w:type="dxa"/>
            </w:tcMar>
          </w:tcPr>
          <w:p>
            <w:pPr>
              <w:spacing w:line="240" w:lineRule="auto" w:after="40" w:before="40"/>
              <w:jc w:val="right"/>
            </w:pPr>
            <w:r>
              <w:rPr>
                <w:sz w:val="16"/>
              </w:rPr>
              <w:t>13,3</w:t>
            </w:r>
          </w:p>
        </w:tc>
        <w:tc>
          <w:tcPr>
            <w:tcW w:type="dxa" w:w="1337"/>
            <w:tcMar>
              <w:top w:w="50" w:type="dxa"/>
              <w:bottom w:w="50" w:type="dxa"/>
              <w:left w:w="60" w:type="dxa"/>
              <w:right w:w="60" w:type="dxa"/>
            </w:tcMar>
          </w:tcPr>
          <w:p>
            <w:pPr>
              <w:spacing w:line="240" w:lineRule="auto" w:after="40" w:before="40"/>
              <w:jc w:val="right"/>
            </w:pPr>
            <w:r>
              <w:rPr>
                <w:sz w:val="16"/>
              </w:rPr>
              <w:t>11,4</w:t>
            </w:r>
          </w:p>
        </w:tc>
      </w:tr>
      <w:tr>
        <w:tc>
          <w:tcPr>
            <w:tcW w:type="dxa" w:w="1337"/>
            <w:tcMar>
              <w:top w:w="50" w:type="dxa"/>
              <w:bottom w:w="50" w:type="dxa"/>
              <w:left w:w="60" w:type="dxa"/>
              <w:right w:w="60" w:type="dxa"/>
            </w:tcMar>
          </w:tcPr>
          <w:p>
            <w:pPr>
              <w:spacing w:line="240" w:lineRule="auto" w:after="40" w:before="40"/>
              <w:jc w:val="left"/>
            </w:pPr>
            <w:r>
              <w:rPr>
                <w:sz w:val="16"/>
              </w:rPr>
              <w:t>2017</w:t>
            </w:r>
          </w:p>
        </w:tc>
        <w:tc>
          <w:tcPr>
            <w:tcW w:type="dxa" w:w="1337"/>
            <w:tcMar>
              <w:top w:w="50" w:type="dxa"/>
              <w:bottom w:w="50" w:type="dxa"/>
              <w:left w:w="60" w:type="dxa"/>
              <w:right w:w="60" w:type="dxa"/>
            </w:tcMar>
          </w:tcPr>
          <w:p>
            <w:pPr>
              <w:spacing w:line="240" w:lineRule="auto" w:after="40" w:before="40"/>
              <w:jc w:val="right"/>
            </w:pPr>
            <w:r>
              <w:rPr>
                <w:sz w:val="16"/>
              </w:rPr>
              <w:t>50,5%</w:t>
            </w:r>
          </w:p>
        </w:tc>
        <w:tc>
          <w:tcPr>
            <w:tcW w:type="dxa" w:w="1337"/>
            <w:tcMar>
              <w:top w:w="50" w:type="dxa"/>
              <w:bottom w:w="50" w:type="dxa"/>
              <w:left w:w="60" w:type="dxa"/>
              <w:right w:w="60" w:type="dxa"/>
            </w:tcMar>
          </w:tcPr>
          <w:p>
            <w:pPr>
              <w:spacing w:line="240" w:lineRule="auto" w:after="40" w:before="40"/>
              <w:jc w:val="right"/>
            </w:pPr>
            <w:r>
              <w:rPr>
                <w:sz w:val="16"/>
              </w:rPr>
              <w:t>39,6%</w:t>
            </w:r>
          </w:p>
        </w:tc>
        <w:tc>
          <w:tcPr>
            <w:tcW w:type="dxa" w:w="1337"/>
            <w:tcMar>
              <w:top w:w="50" w:type="dxa"/>
              <w:bottom w:w="50" w:type="dxa"/>
              <w:left w:w="60" w:type="dxa"/>
              <w:right w:w="60" w:type="dxa"/>
            </w:tcMar>
          </w:tcPr>
          <w:p>
            <w:pPr>
              <w:spacing w:line="240" w:lineRule="auto" w:after="40" w:before="40"/>
              <w:jc w:val="right"/>
            </w:pPr>
            <w:r>
              <w:rPr>
                <w:sz w:val="16"/>
              </w:rPr>
              <w:t>40,6</w:t>
            </w:r>
          </w:p>
        </w:tc>
        <w:tc>
          <w:tcPr>
            <w:tcW w:type="dxa" w:w="1337"/>
            <w:tcMar>
              <w:top w:w="50" w:type="dxa"/>
              <w:bottom w:w="50" w:type="dxa"/>
              <w:left w:w="60" w:type="dxa"/>
              <w:right w:w="60" w:type="dxa"/>
            </w:tcMar>
          </w:tcPr>
          <w:p>
            <w:pPr>
              <w:spacing w:line="240" w:lineRule="auto" w:after="40" w:before="40"/>
              <w:jc w:val="right"/>
            </w:pPr>
            <w:r>
              <w:rPr>
                <w:sz w:val="16"/>
              </w:rPr>
              <w:t>31,8</w:t>
            </w:r>
          </w:p>
        </w:tc>
        <w:tc>
          <w:tcPr>
            <w:tcW w:type="dxa" w:w="1337"/>
            <w:tcMar>
              <w:top w:w="50" w:type="dxa"/>
              <w:bottom w:w="50" w:type="dxa"/>
              <w:left w:w="60" w:type="dxa"/>
              <w:right w:w="60" w:type="dxa"/>
            </w:tcMar>
          </w:tcPr>
          <w:p>
            <w:pPr>
              <w:spacing w:line="240" w:lineRule="auto" w:after="40" w:before="40"/>
              <w:jc w:val="right"/>
            </w:pPr>
            <w:r>
              <w:rPr>
                <w:sz w:val="16"/>
              </w:rPr>
              <w:t>13,8</w:t>
            </w:r>
          </w:p>
        </w:tc>
        <w:tc>
          <w:tcPr>
            <w:tcW w:type="dxa" w:w="1337"/>
            <w:tcMar>
              <w:top w:w="50" w:type="dxa"/>
              <w:bottom w:w="50" w:type="dxa"/>
              <w:left w:w="60" w:type="dxa"/>
              <w:right w:w="60" w:type="dxa"/>
            </w:tcMar>
          </w:tcPr>
          <w:p>
            <w:pPr>
              <w:spacing w:line="240" w:lineRule="auto" w:after="40" w:before="40"/>
              <w:jc w:val="right"/>
            </w:pPr>
            <w:r>
              <w:rPr>
                <w:sz w:val="16"/>
              </w:rPr>
              <w:t>10,8</w:t>
            </w:r>
          </w:p>
        </w:tc>
      </w:tr>
      <w:tr>
        <w:tc>
          <w:tcPr>
            <w:tcW w:type="dxa" w:w="1337"/>
            <w:tcMar>
              <w:top w:w="50" w:type="dxa"/>
              <w:bottom w:w="50" w:type="dxa"/>
              <w:left w:w="60" w:type="dxa"/>
              <w:right w:w="60" w:type="dxa"/>
            </w:tcMar>
          </w:tcPr>
          <w:p>
            <w:pPr>
              <w:spacing w:line="240" w:lineRule="auto" w:after="40" w:before="40"/>
              <w:jc w:val="left"/>
            </w:pPr>
            <w:r>
              <w:rPr>
                <w:sz w:val="16"/>
              </w:rPr>
              <w:t>2018</w:t>
            </w:r>
          </w:p>
        </w:tc>
        <w:tc>
          <w:tcPr>
            <w:tcW w:type="dxa" w:w="1337"/>
            <w:tcMar>
              <w:top w:w="50" w:type="dxa"/>
              <w:bottom w:w="50" w:type="dxa"/>
              <w:left w:w="60" w:type="dxa"/>
              <w:right w:w="60" w:type="dxa"/>
            </w:tcMar>
          </w:tcPr>
          <w:p>
            <w:pPr>
              <w:spacing w:line="240" w:lineRule="auto" w:after="40" w:before="40"/>
              <w:jc w:val="right"/>
            </w:pPr>
            <w:r>
              <w:rPr>
                <w:sz w:val="16"/>
              </w:rPr>
              <w:t>52,8%</w:t>
            </w:r>
          </w:p>
        </w:tc>
        <w:tc>
          <w:tcPr>
            <w:tcW w:type="dxa" w:w="1337"/>
            <w:tcMar>
              <w:top w:w="50" w:type="dxa"/>
              <w:bottom w:w="50" w:type="dxa"/>
              <w:left w:w="60" w:type="dxa"/>
              <w:right w:w="60" w:type="dxa"/>
            </w:tcMar>
          </w:tcPr>
          <w:p>
            <w:pPr>
              <w:spacing w:line="240" w:lineRule="auto" w:after="40" w:before="40"/>
              <w:jc w:val="right"/>
            </w:pPr>
            <w:r>
              <w:rPr>
                <w:sz w:val="16"/>
              </w:rPr>
              <w:t>45,8%</w:t>
            </w:r>
          </w:p>
        </w:tc>
        <w:tc>
          <w:tcPr>
            <w:tcW w:type="dxa" w:w="1337"/>
            <w:tcMar>
              <w:top w:w="50" w:type="dxa"/>
              <w:bottom w:w="50" w:type="dxa"/>
              <w:left w:w="60" w:type="dxa"/>
              <w:right w:w="60" w:type="dxa"/>
            </w:tcMar>
          </w:tcPr>
          <w:p>
            <w:pPr>
              <w:spacing w:line="240" w:lineRule="auto" w:after="40" w:before="40"/>
              <w:jc w:val="right"/>
            </w:pPr>
            <w:r>
              <w:rPr>
                <w:sz w:val="16"/>
              </w:rPr>
              <w:t>44,9</w:t>
            </w:r>
          </w:p>
        </w:tc>
        <w:tc>
          <w:tcPr>
            <w:tcW w:type="dxa" w:w="1337"/>
            <w:tcMar>
              <w:top w:w="50" w:type="dxa"/>
              <w:bottom w:w="50" w:type="dxa"/>
              <w:left w:w="60" w:type="dxa"/>
              <w:right w:w="60" w:type="dxa"/>
            </w:tcMar>
          </w:tcPr>
          <w:p>
            <w:pPr>
              <w:spacing w:line="240" w:lineRule="auto" w:after="40" w:before="40"/>
              <w:jc w:val="right"/>
            </w:pPr>
            <w:r>
              <w:rPr>
                <w:sz w:val="16"/>
              </w:rPr>
              <w:t>40,1</w:t>
            </w:r>
          </w:p>
        </w:tc>
        <w:tc>
          <w:tcPr>
            <w:tcW w:type="dxa" w:w="1337"/>
            <w:tcMar>
              <w:top w:w="50" w:type="dxa"/>
              <w:bottom w:w="50" w:type="dxa"/>
              <w:left w:w="60" w:type="dxa"/>
              <w:right w:w="60" w:type="dxa"/>
            </w:tcMar>
          </w:tcPr>
          <w:p>
            <w:pPr>
              <w:spacing w:line="240" w:lineRule="auto" w:after="40" w:before="40"/>
              <w:jc w:val="right"/>
            </w:pPr>
            <w:r>
              <w:rPr>
                <w:sz w:val="16"/>
              </w:rPr>
              <w:t>15,3</w:t>
            </w:r>
          </w:p>
        </w:tc>
        <w:tc>
          <w:tcPr>
            <w:tcW w:type="dxa" w:w="1337"/>
            <w:tcMar>
              <w:top w:w="50" w:type="dxa"/>
              <w:bottom w:w="50" w:type="dxa"/>
              <w:left w:w="60" w:type="dxa"/>
              <w:right w:w="60" w:type="dxa"/>
            </w:tcMar>
          </w:tcPr>
          <w:p>
            <w:pPr>
              <w:spacing w:line="240" w:lineRule="auto" w:after="40" w:before="40"/>
              <w:jc w:val="right"/>
            </w:pPr>
            <w:r>
              <w:rPr>
                <w:sz w:val="16"/>
              </w:rPr>
              <w:t>13,6</w:t>
            </w:r>
          </w:p>
        </w:tc>
      </w:tr>
      <w:tr>
        <w:tc>
          <w:tcPr>
            <w:tcW w:type="dxa" w:w="1337"/>
            <w:tcMar>
              <w:top w:w="50" w:type="dxa"/>
              <w:bottom w:w="50" w:type="dxa"/>
              <w:left w:w="60" w:type="dxa"/>
              <w:right w:w="60" w:type="dxa"/>
            </w:tcMar>
          </w:tcPr>
          <w:p>
            <w:pPr>
              <w:spacing w:line="240" w:lineRule="auto" w:after="40" w:before="40"/>
              <w:jc w:val="left"/>
            </w:pPr>
            <w:r>
              <w:rPr>
                <w:sz w:val="16"/>
              </w:rPr>
              <w:t>2019</w:t>
            </w:r>
          </w:p>
        </w:tc>
        <w:tc>
          <w:tcPr>
            <w:tcW w:type="dxa" w:w="1337"/>
            <w:tcMar>
              <w:top w:w="50" w:type="dxa"/>
              <w:bottom w:w="50" w:type="dxa"/>
              <w:left w:w="60" w:type="dxa"/>
              <w:right w:w="60" w:type="dxa"/>
            </w:tcMar>
          </w:tcPr>
          <w:p>
            <w:pPr>
              <w:spacing w:line="240" w:lineRule="auto" w:after="40" w:before="40"/>
              <w:jc w:val="right"/>
            </w:pPr>
            <w:r>
              <w:rPr>
                <w:sz w:val="16"/>
              </w:rPr>
              <w:t>55,3%</w:t>
            </w:r>
          </w:p>
        </w:tc>
        <w:tc>
          <w:tcPr>
            <w:tcW w:type="dxa" w:w="1337"/>
            <w:tcMar>
              <w:top w:w="50" w:type="dxa"/>
              <w:bottom w:w="50" w:type="dxa"/>
              <w:left w:w="60" w:type="dxa"/>
              <w:right w:w="60" w:type="dxa"/>
            </w:tcMar>
          </w:tcPr>
          <w:p>
            <w:pPr>
              <w:spacing w:line="240" w:lineRule="auto" w:after="40" w:before="40"/>
              <w:jc w:val="right"/>
            </w:pPr>
            <w:r>
              <w:rPr>
                <w:sz w:val="16"/>
              </w:rPr>
              <w:t>54,2%</w:t>
            </w:r>
          </w:p>
        </w:tc>
        <w:tc>
          <w:tcPr>
            <w:tcW w:type="dxa" w:w="1337"/>
            <w:tcMar>
              <w:top w:w="50" w:type="dxa"/>
              <w:bottom w:w="50" w:type="dxa"/>
              <w:left w:w="60" w:type="dxa"/>
              <w:right w:w="60" w:type="dxa"/>
            </w:tcMar>
          </w:tcPr>
          <w:p>
            <w:pPr>
              <w:spacing w:line="240" w:lineRule="auto" w:after="40" w:before="40"/>
              <w:jc w:val="right"/>
            </w:pPr>
            <w:r>
              <w:rPr>
                <w:sz w:val="16"/>
              </w:rPr>
              <w:t>46,2</w:t>
            </w:r>
          </w:p>
        </w:tc>
        <w:tc>
          <w:tcPr>
            <w:tcW w:type="dxa" w:w="1337"/>
            <w:tcMar>
              <w:top w:w="50" w:type="dxa"/>
              <w:bottom w:w="50" w:type="dxa"/>
              <w:left w:w="60" w:type="dxa"/>
              <w:right w:w="60" w:type="dxa"/>
            </w:tcMar>
          </w:tcPr>
          <w:p>
            <w:pPr>
              <w:spacing w:line="240" w:lineRule="auto" w:after="40" w:before="40"/>
              <w:jc w:val="right"/>
            </w:pPr>
            <w:r>
              <w:rPr>
                <w:sz w:val="16"/>
              </w:rPr>
              <w:t>44,2</w:t>
            </w:r>
          </w:p>
        </w:tc>
        <w:tc>
          <w:tcPr>
            <w:tcW w:type="dxa" w:w="1337"/>
            <w:tcMar>
              <w:top w:w="50" w:type="dxa"/>
              <w:bottom w:w="50" w:type="dxa"/>
              <w:left w:w="60" w:type="dxa"/>
              <w:right w:w="60" w:type="dxa"/>
            </w:tcMar>
          </w:tcPr>
          <w:p>
            <w:pPr>
              <w:spacing w:line="240" w:lineRule="auto" w:after="40" w:before="40"/>
              <w:jc w:val="right"/>
            </w:pPr>
            <w:r>
              <w:rPr>
                <w:sz w:val="16"/>
              </w:rPr>
              <w:t>15,7</w:t>
            </w:r>
          </w:p>
        </w:tc>
        <w:tc>
          <w:tcPr>
            <w:tcW w:type="dxa" w:w="1337"/>
            <w:tcMar>
              <w:top w:w="50" w:type="dxa"/>
              <w:bottom w:w="50" w:type="dxa"/>
              <w:left w:w="60" w:type="dxa"/>
              <w:right w:w="60" w:type="dxa"/>
            </w:tcMar>
          </w:tcPr>
          <w:p>
            <w:pPr>
              <w:spacing w:line="240" w:lineRule="auto" w:after="40" w:before="40"/>
              <w:jc w:val="right"/>
            </w:pPr>
            <w:r>
              <w:rPr>
                <w:sz w:val="16"/>
              </w:rPr>
              <w:t>15,0</w:t>
            </w:r>
          </w:p>
        </w:tc>
      </w:tr>
      <w:tr>
        <w:tc>
          <w:tcPr>
            <w:tcW w:type="dxa" w:w="1337"/>
            <w:tcMar>
              <w:top w:w="50" w:type="dxa"/>
              <w:bottom w:w="50" w:type="dxa"/>
              <w:left w:w="60" w:type="dxa"/>
              <w:right w:w="60" w:type="dxa"/>
            </w:tcMar>
          </w:tcPr>
          <w:p>
            <w:pPr>
              <w:spacing w:line="240" w:lineRule="auto" w:after="40" w:before="40"/>
              <w:jc w:val="left"/>
            </w:pPr>
            <w:r>
              <w:rPr>
                <w:sz w:val="16"/>
              </w:rPr>
              <w:t>2020</w:t>
            </w:r>
          </w:p>
        </w:tc>
        <w:tc>
          <w:tcPr>
            <w:tcW w:type="dxa" w:w="1337"/>
            <w:tcMar>
              <w:top w:w="50" w:type="dxa"/>
              <w:bottom w:w="50" w:type="dxa"/>
              <w:left w:w="60" w:type="dxa"/>
              <w:right w:w="60" w:type="dxa"/>
            </w:tcMar>
          </w:tcPr>
          <w:p>
            <w:pPr>
              <w:spacing w:line="240" w:lineRule="auto" w:after="40" w:before="40"/>
              <w:jc w:val="right"/>
            </w:pPr>
            <w:r>
              <w:rPr>
                <w:sz w:val="16"/>
              </w:rPr>
              <w:t>67,1%</w:t>
            </w:r>
          </w:p>
        </w:tc>
        <w:tc>
          <w:tcPr>
            <w:tcW w:type="dxa" w:w="1337"/>
            <w:tcMar>
              <w:top w:w="50" w:type="dxa"/>
              <w:bottom w:w="50" w:type="dxa"/>
              <w:left w:w="60" w:type="dxa"/>
              <w:right w:w="60" w:type="dxa"/>
            </w:tcMar>
          </w:tcPr>
          <w:p>
            <w:pPr>
              <w:spacing w:line="240" w:lineRule="auto" w:after="40" w:before="40"/>
              <w:jc w:val="right"/>
            </w:pPr>
            <w:r>
              <w:rPr>
                <w:sz w:val="16"/>
              </w:rPr>
              <w:t>84,5%</w:t>
            </w:r>
          </w:p>
        </w:tc>
        <w:tc>
          <w:tcPr>
            <w:tcW w:type="dxa" w:w="1337"/>
            <w:tcMar>
              <w:top w:w="50" w:type="dxa"/>
              <w:bottom w:w="50" w:type="dxa"/>
              <w:left w:w="60" w:type="dxa"/>
              <w:right w:w="60" w:type="dxa"/>
            </w:tcMar>
          </w:tcPr>
          <w:p>
            <w:pPr>
              <w:spacing w:line="240" w:lineRule="auto" w:after="40" w:before="40"/>
              <w:jc w:val="right"/>
            </w:pPr>
            <w:r>
              <w:rPr>
                <w:sz w:val="16"/>
              </w:rPr>
              <w:t>60,9</w:t>
            </w:r>
          </w:p>
        </w:tc>
        <w:tc>
          <w:tcPr>
            <w:tcW w:type="dxa" w:w="1337"/>
            <w:tcMar>
              <w:top w:w="50" w:type="dxa"/>
              <w:bottom w:w="50" w:type="dxa"/>
              <w:left w:w="60" w:type="dxa"/>
              <w:right w:w="60" w:type="dxa"/>
            </w:tcMar>
          </w:tcPr>
          <w:p>
            <w:pPr>
              <w:spacing w:line="240" w:lineRule="auto" w:after="40" w:before="40"/>
              <w:jc w:val="right"/>
            </w:pPr>
            <w:r>
              <w:rPr>
                <w:sz w:val="16"/>
              </w:rPr>
              <w:t>76,4</w:t>
            </w:r>
          </w:p>
        </w:tc>
        <w:tc>
          <w:tcPr>
            <w:tcW w:type="dxa" w:w="1337"/>
            <w:tcMar>
              <w:top w:w="50" w:type="dxa"/>
              <w:bottom w:w="50" w:type="dxa"/>
              <w:left w:w="60" w:type="dxa"/>
              <w:right w:w="60" w:type="dxa"/>
            </w:tcMar>
          </w:tcPr>
          <w:p>
            <w:pPr>
              <w:spacing w:line="240" w:lineRule="auto" w:after="40" w:before="40"/>
              <w:jc w:val="right"/>
            </w:pPr>
            <w:r>
              <w:rPr>
                <w:sz w:val="16"/>
              </w:rPr>
              <w:t>20,7</w:t>
            </w:r>
          </w:p>
        </w:tc>
        <w:tc>
          <w:tcPr>
            <w:tcW w:type="dxa" w:w="1337"/>
            <w:tcMar>
              <w:top w:w="50" w:type="dxa"/>
              <w:bottom w:w="50" w:type="dxa"/>
              <w:left w:w="60" w:type="dxa"/>
              <w:right w:w="60" w:type="dxa"/>
            </w:tcMar>
          </w:tcPr>
          <w:p>
            <w:pPr>
              <w:spacing w:line="240" w:lineRule="auto" w:after="40" w:before="40"/>
              <w:jc w:val="right"/>
            </w:pPr>
            <w:r>
              <w:rPr>
                <w:sz w:val="16"/>
              </w:rPr>
              <w:t>26,0</w:t>
            </w:r>
          </w:p>
        </w:tc>
      </w:tr>
      <w:tr>
        <w:tc>
          <w:tcPr>
            <w:tcW w:type="dxa" w:w="1337"/>
            <w:tcMar>
              <w:top w:w="50" w:type="dxa"/>
              <w:bottom w:w="50" w:type="dxa"/>
              <w:left w:w="60" w:type="dxa"/>
              <w:right w:w="60" w:type="dxa"/>
            </w:tcMar>
          </w:tcPr>
          <w:p>
            <w:pPr>
              <w:spacing w:line="240" w:lineRule="auto" w:after="40" w:before="40"/>
              <w:jc w:val="left"/>
            </w:pPr>
            <w:r>
              <w:rPr>
                <w:sz w:val="16"/>
              </w:rPr>
              <w:t>2021</w:t>
            </w:r>
          </w:p>
        </w:tc>
        <w:tc>
          <w:tcPr>
            <w:tcW w:type="dxa" w:w="1337"/>
            <w:tcMar>
              <w:top w:w="50" w:type="dxa"/>
              <w:bottom w:w="50" w:type="dxa"/>
              <w:left w:w="60" w:type="dxa"/>
              <w:right w:w="60" w:type="dxa"/>
            </w:tcMar>
          </w:tcPr>
          <w:p>
            <w:pPr>
              <w:spacing w:line="240" w:lineRule="auto" w:after="40" w:before="40"/>
              <w:jc w:val="right"/>
            </w:pPr>
            <w:r>
              <w:rPr>
                <w:sz w:val="16"/>
              </w:rPr>
              <w:t>89,1%</w:t>
            </w:r>
          </w:p>
        </w:tc>
        <w:tc>
          <w:tcPr>
            <w:tcW w:type="dxa" w:w="1337"/>
            <w:tcMar>
              <w:top w:w="50" w:type="dxa"/>
              <w:bottom w:w="50" w:type="dxa"/>
              <w:left w:w="60" w:type="dxa"/>
              <w:right w:w="60" w:type="dxa"/>
            </w:tcMar>
          </w:tcPr>
          <w:p>
            <w:pPr>
              <w:spacing w:line="240" w:lineRule="auto" w:after="40" w:before="40"/>
              <w:jc w:val="right"/>
            </w:pPr>
            <w:r>
              <w:rPr>
                <w:sz w:val="16"/>
              </w:rPr>
              <w:t>112,5%</w:t>
            </w:r>
          </w:p>
        </w:tc>
        <w:tc>
          <w:tcPr>
            <w:tcW w:type="dxa" w:w="1337"/>
            <w:tcMar>
              <w:top w:w="50" w:type="dxa"/>
              <w:bottom w:w="50" w:type="dxa"/>
              <w:left w:w="60" w:type="dxa"/>
              <w:right w:w="60" w:type="dxa"/>
            </w:tcMar>
          </w:tcPr>
          <w:p>
            <w:pPr>
              <w:spacing w:line="240" w:lineRule="auto" w:after="40" w:before="40"/>
              <w:jc w:val="right"/>
            </w:pPr>
            <w:r>
              <w:rPr>
                <w:sz w:val="16"/>
              </w:rPr>
              <w:t>84,4</w:t>
            </w:r>
          </w:p>
        </w:tc>
        <w:tc>
          <w:tcPr>
            <w:tcW w:type="dxa" w:w="1337"/>
            <w:tcMar>
              <w:top w:w="50" w:type="dxa"/>
              <w:bottom w:w="50" w:type="dxa"/>
              <w:left w:w="60" w:type="dxa"/>
              <w:right w:w="60" w:type="dxa"/>
            </w:tcMar>
          </w:tcPr>
          <w:p>
            <w:pPr>
              <w:spacing w:line="240" w:lineRule="auto" w:after="40" w:before="40"/>
              <w:jc w:val="right"/>
            </w:pPr>
            <w:r>
              <w:rPr>
                <w:sz w:val="16"/>
              </w:rPr>
              <w:t>108,4</w:t>
            </w:r>
          </w:p>
        </w:tc>
        <w:tc>
          <w:tcPr>
            <w:tcW w:type="dxa" w:w="1337"/>
            <w:tcMar>
              <w:top w:w="50" w:type="dxa"/>
              <w:bottom w:w="50" w:type="dxa"/>
              <w:left w:w="60" w:type="dxa"/>
              <w:right w:w="60" w:type="dxa"/>
            </w:tcMar>
          </w:tcPr>
          <w:p>
            <w:pPr>
              <w:spacing w:line="240" w:lineRule="auto" w:after="40" w:before="40"/>
              <w:jc w:val="right"/>
            </w:pPr>
            <w:r>
              <w:rPr>
                <w:sz w:val="16"/>
              </w:rPr>
              <w:t>28,7</w:t>
            </w:r>
          </w:p>
        </w:tc>
        <w:tc>
          <w:tcPr>
            <w:tcW w:type="dxa" w:w="1337"/>
            <w:tcMar>
              <w:top w:w="50" w:type="dxa"/>
              <w:bottom w:w="50" w:type="dxa"/>
              <w:left w:w="60" w:type="dxa"/>
              <w:right w:w="60" w:type="dxa"/>
            </w:tcMar>
          </w:tcPr>
          <w:p>
            <w:pPr>
              <w:spacing w:line="240" w:lineRule="auto" w:after="40" w:before="40"/>
              <w:jc w:val="right"/>
            </w:pPr>
            <w:r>
              <w:rPr>
                <w:sz w:val="16"/>
              </w:rPr>
              <w:t>36,8</w:t>
            </w:r>
          </w:p>
        </w:tc>
      </w:tr>
      <w:tr>
        <w:tc>
          <w:tcPr>
            <w:tcW w:type="dxa" w:w="1337"/>
            <w:tcMar>
              <w:top w:w="50" w:type="dxa"/>
              <w:bottom w:w="50" w:type="dxa"/>
              <w:left w:w="60" w:type="dxa"/>
              <w:right w:w="60" w:type="dxa"/>
            </w:tcMar>
          </w:tcPr>
          <w:p>
            <w:pPr>
              <w:spacing w:line="240" w:lineRule="auto" w:after="40" w:before="40"/>
              <w:jc w:val="left"/>
            </w:pPr>
            <w:r>
              <w:rPr>
                <w:sz w:val="16"/>
              </w:rPr>
              <w:t>2022</w:t>
            </w:r>
          </w:p>
        </w:tc>
        <w:tc>
          <w:tcPr>
            <w:tcW w:type="dxa" w:w="1337"/>
            <w:tcMar>
              <w:top w:w="50" w:type="dxa"/>
              <w:bottom w:w="50" w:type="dxa"/>
              <w:left w:w="60" w:type="dxa"/>
              <w:right w:w="60" w:type="dxa"/>
            </w:tcMar>
          </w:tcPr>
          <w:p>
            <w:pPr>
              <w:spacing w:line="240" w:lineRule="auto" w:after="40" w:before="40"/>
              <w:jc w:val="right"/>
            </w:pPr>
            <w:r>
              <w:rPr>
                <w:sz w:val="16"/>
              </w:rPr>
              <w:t>98,8%</w:t>
            </w:r>
          </w:p>
        </w:tc>
        <w:tc>
          <w:tcPr>
            <w:tcW w:type="dxa" w:w="1337"/>
            <w:tcMar>
              <w:top w:w="50" w:type="dxa"/>
              <w:bottom w:w="50" w:type="dxa"/>
              <w:left w:w="60" w:type="dxa"/>
              <w:right w:w="60" w:type="dxa"/>
            </w:tcMar>
          </w:tcPr>
          <w:p>
            <w:pPr>
              <w:spacing w:line="240" w:lineRule="auto" w:after="40" w:before="40"/>
              <w:jc w:val="right"/>
            </w:pPr>
            <w:r>
              <w:rPr>
                <w:sz w:val="16"/>
              </w:rPr>
              <w:t>117,7%</w:t>
            </w:r>
          </w:p>
        </w:tc>
        <w:tc>
          <w:tcPr>
            <w:tcW w:type="dxa" w:w="1337"/>
            <w:tcMar>
              <w:top w:w="50" w:type="dxa"/>
              <w:bottom w:w="50" w:type="dxa"/>
              <w:left w:w="60" w:type="dxa"/>
              <w:right w:w="60" w:type="dxa"/>
            </w:tcMar>
          </w:tcPr>
          <w:p>
            <w:pPr>
              <w:spacing w:line="240" w:lineRule="auto" w:after="40" w:before="40"/>
              <w:jc w:val="right"/>
            </w:pPr>
            <w:r>
              <w:rPr>
                <w:sz w:val="16"/>
              </w:rPr>
              <w:t>96,9</w:t>
            </w:r>
          </w:p>
        </w:tc>
        <w:tc>
          <w:tcPr>
            <w:tcW w:type="dxa" w:w="1337"/>
            <w:tcMar>
              <w:top w:w="50" w:type="dxa"/>
              <w:bottom w:w="50" w:type="dxa"/>
              <w:left w:w="60" w:type="dxa"/>
              <w:right w:w="60" w:type="dxa"/>
            </w:tcMar>
          </w:tcPr>
          <w:p>
            <w:pPr>
              <w:spacing w:line="240" w:lineRule="auto" w:after="40" w:before="40"/>
              <w:jc w:val="right"/>
            </w:pPr>
            <w:r>
              <w:rPr>
                <w:sz w:val="16"/>
              </w:rPr>
              <w:t>118,2</w:t>
            </w:r>
          </w:p>
        </w:tc>
        <w:tc>
          <w:tcPr>
            <w:tcW w:type="dxa" w:w="1337"/>
            <w:tcMar>
              <w:top w:w="50" w:type="dxa"/>
              <w:bottom w:w="50" w:type="dxa"/>
              <w:left w:w="60" w:type="dxa"/>
              <w:right w:w="60" w:type="dxa"/>
            </w:tcMar>
          </w:tcPr>
          <w:p>
            <w:pPr>
              <w:spacing w:line="240" w:lineRule="auto" w:after="40" w:before="40"/>
              <w:jc w:val="right"/>
            </w:pPr>
            <w:r>
              <w:rPr>
                <w:sz w:val="16"/>
              </w:rPr>
              <w:t>32,9</w:t>
            </w:r>
          </w:p>
        </w:tc>
        <w:tc>
          <w:tcPr>
            <w:tcW w:type="dxa" w:w="1337"/>
            <w:tcMar>
              <w:top w:w="50" w:type="dxa"/>
              <w:bottom w:w="50" w:type="dxa"/>
              <w:left w:w="60" w:type="dxa"/>
              <w:right w:w="60" w:type="dxa"/>
            </w:tcMar>
          </w:tcPr>
          <w:p>
            <w:pPr>
              <w:spacing w:line="240" w:lineRule="auto" w:after="40" w:before="40"/>
              <w:jc w:val="right"/>
            </w:pPr>
            <w:r>
              <w:rPr>
                <w:sz w:val="16"/>
              </w:rPr>
              <w:t>40,2</w:t>
            </w:r>
          </w:p>
        </w:tc>
      </w:tr>
      <w:tr>
        <w:tc>
          <w:tcPr>
            <w:tcW w:type="dxa" w:w="1337"/>
            <w:tcMar>
              <w:top w:w="50" w:type="dxa"/>
              <w:bottom w:w="50" w:type="dxa"/>
              <w:left w:w="60" w:type="dxa"/>
              <w:right w:w="60" w:type="dxa"/>
            </w:tcMar>
          </w:tcPr>
          <w:p>
            <w:pPr>
              <w:spacing w:line="240" w:lineRule="auto" w:after="40" w:before="40"/>
              <w:jc w:val="left"/>
            </w:pPr>
            <w:r>
              <w:rPr>
                <w:sz w:val="16"/>
              </w:rPr>
              <w:t>2023</w:t>
            </w:r>
          </w:p>
        </w:tc>
        <w:tc>
          <w:tcPr>
            <w:tcW w:type="dxa" w:w="1337"/>
            <w:tcMar>
              <w:top w:w="50" w:type="dxa"/>
              <w:bottom w:w="50" w:type="dxa"/>
              <w:left w:w="60" w:type="dxa"/>
              <w:right w:w="60" w:type="dxa"/>
            </w:tcMar>
          </w:tcPr>
          <w:p>
            <w:pPr>
              <w:spacing w:line="240" w:lineRule="auto" w:after="40" w:before="40"/>
              <w:jc w:val="right"/>
            </w:pPr>
            <w:r>
              <w:rPr>
                <w:sz w:val="16"/>
              </w:rPr>
              <w:t>104,3%</w:t>
            </w:r>
          </w:p>
        </w:tc>
        <w:tc>
          <w:tcPr>
            <w:tcW w:type="dxa" w:w="1337"/>
            <w:tcMar>
              <w:top w:w="50" w:type="dxa"/>
              <w:bottom w:w="50" w:type="dxa"/>
              <w:left w:w="60" w:type="dxa"/>
              <w:right w:w="60" w:type="dxa"/>
            </w:tcMar>
          </w:tcPr>
          <w:p>
            <w:pPr>
              <w:spacing w:line="240" w:lineRule="auto" w:after="40" w:before="40"/>
              <w:jc w:val="right"/>
            </w:pPr>
            <w:r>
              <w:rPr>
                <w:sz w:val="16"/>
              </w:rPr>
              <w:t>109,3%</w:t>
            </w:r>
          </w:p>
        </w:tc>
        <w:tc>
          <w:tcPr>
            <w:tcW w:type="dxa" w:w="1337"/>
            <w:tcMar>
              <w:top w:w="50" w:type="dxa"/>
              <w:bottom w:w="50" w:type="dxa"/>
              <w:left w:w="60" w:type="dxa"/>
              <w:right w:w="60" w:type="dxa"/>
            </w:tcMar>
          </w:tcPr>
          <w:p>
            <w:pPr>
              <w:spacing w:line="240" w:lineRule="auto" w:after="40" w:before="40"/>
              <w:jc w:val="right"/>
            </w:pPr>
            <w:r>
              <w:rPr>
                <w:sz w:val="16"/>
              </w:rPr>
              <w:t>110,0</w:t>
            </w:r>
          </w:p>
        </w:tc>
        <w:tc>
          <w:tcPr>
            <w:tcW w:type="dxa" w:w="1337"/>
            <w:tcMar>
              <w:top w:w="50" w:type="dxa"/>
              <w:bottom w:w="50" w:type="dxa"/>
              <w:left w:w="60" w:type="dxa"/>
              <w:right w:w="60" w:type="dxa"/>
            </w:tcMar>
          </w:tcPr>
          <w:p>
            <w:pPr>
              <w:spacing w:line="240" w:lineRule="auto" w:after="40" w:before="40"/>
              <w:jc w:val="right"/>
            </w:pPr>
            <w:r>
              <w:rPr>
                <w:sz w:val="16"/>
              </w:rPr>
              <w:t>116,7</w:t>
            </w:r>
          </w:p>
        </w:tc>
        <w:tc>
          <w:tcPr>
            <w:tcW w:type="dxa" w:w="1337"/>
            <w:tcMar>
              <w:top w:w="50" w:type="dxa"/>
              <w:bottom w:w="50" w:type="dxa"/>
              <w:left w:w="60" w:type="dxa"/>
              <w:right w:w="60" w:type="dxa"/>
            </w:tcMar>
          </w:tcPr>
          <w:p>
            <w:pPr>
              <w:spacing w:line="240" w:lineRule="auto" w:after="40" w:before="40"/>
              <w:jc w:val="right"/>
            </w:pPr>
            <w:r>
              <w:rPr>
                <w:sz w:val="16"/>
              </w:rPr>
              <w:t>37,4</w:t>
            </w:r>
          </w:p>
        </w:tc>
        <w:tc>
          <w:tcPr>
            <w:tcW w:type="dxa" w:w="1337"/>
            <w:tcMar>
              <w:top w:w="50" w:type="dxa"/>
              <w:bottom w:w="50" w:type="dxa"/>
              <w:left w:w="60" w:type="dxa"/>
              <w:right w:w="60" w:type="dxa"/>
            </w:tcMar>
          </w:tcPr>
          <w:p>
            <w:pPr>
              <w:spacing w:line="240" w:lineRule="auto" w:after="40" w:before="40"/>
              <w:jc w:val="right"/>
            </w:pPr>
            <w:r>
              <w:rPr>
                <w:sz w:val="16"/>
              </w:rPr>
              <w:t>39,7</w:t>
            </w:r>
          </w:p>
        </w:tc>
      </w:tr>
      <w:tr>
        <w:tc>
          <w:tcPr>
            <w:tcW w:type="dxa" w:w="1337"/>
            <w:tcMar>
              <w:top w:w="50" w:type="dxa"/>
              <w:bottom w:w="50" w:type="dxa"/>
              <w:left w:w="60" w:type="dxa"/>
              <w:right w:w="60" w:type="dxa"/>
            </w:tcMar>
          </w:tcPr>
          <w:p>
            <w:pPr>
              <w:spacing w:line="240" w:lineRule="auto" w:after="40" w:before="40"/>
              <w:jc w:val="left"/>
            </w:pPr>
            <w:r>
              <w:rPr>
                <w:sz w:val="16"/>
              </w:rPr>
              <w:t>2024</w:t>
            </w:r>
          </w:p>
        </w:tc>
        <w:tc>
          <w:tcPr>
            <w:tcW w:type="dxa" w:w="1337"/>
            <w:tcMar>
              <w:top w:w="50" w:type="dxa"/>
              <w:bottom w:w="50" w:type="dxa"/>
              <w:left w:w="60" w:type="dxa"/>
              <w:right w:w="60" w:type="dxa"/>
            </w:tcMar>
          </w:tcPr>
          <w:p>
            <w:pPr>
              <w:spacing w:line="240" w:lineRule="auto" w:after="40" w:before="40"/>
              <w:jc w:val="right"/>
            </w:pPr>
            <w:r>
              <w:rPr>
                <w:sz w:val="16"/>
              </w:rPr>
              <w:t>113,0%</w:t>
            </w:r>
          </w:p>
        </w:tc>
        <w:tc>
          <w:tcPr>
            <w:tcW w:type="dxa" w:w="1337"/>
            <w:tcMar>
              <w:top w:w="50" w:type="dxa"/>
              <w:bottom w:w="50" w:type="dxa"/>
              <w:left w:w="60" w:type="dxa"/>
              <w:right w:w="60" w:type="dxa"/>
            </w:tcMar>
          </w:tcPr>
          <w:p>
            <w:pPr>
              <w:spacing w:line="240" w:lineRule="auto" w:after="40" w:before="40"/>
              <w:jc w:val="right"/>
            </w:pPr>
            <w:r>
              <w:rPr>
                <w:sz w:val="16"/>
              </w:rPr>
              <w:t>118,0%</w:t>
            </w:r>
          </w:p>
        </w:tc>
        <w:tc>
          <w:tcPr>
            <w:tcW w:type="dxa" w:w="1337"/>
            <w:tcMar>
              <w:top w:w="50" w:type="dxa"/>
              <w:bottom w:w="50" w:type="dxa"/>
              <w:left w:w="60" w:type="dxa"/>
              <w:right w:w="60" w:type="dxa"/>
            </w:tcMar>
          </w:tcPr>
          <w:p>
            <w:pPr>
              <w:spacing w:line="240" w:lineRule="auto" w:after="40" w:before="40"/>
              <w:jc w:val="right"/>
            </w:pPr>
            <w:r>
              <w:rPr>
                <w:sz w:val="16"/>
              </w:rPr>
              <w:t>118,7</w:t>
            </w:r>
          </w:p>
        </w:tc>
        <w:tc>
          <w:tcPr>
            <w:tcW w:type="dxa" w:w="1337"/>
            <w:tcMar>
              <w:top w:w="50" w:type="dxa"/>
              <w:bottom w:w="50" w:type="dxa"/>
              <w:left w:w="60" w:type="dxa"/>
              <w:right w:w="60" w:type="dxa"/>
            </w:tcMar>
          </w:tcPr>
          <w:p>
            <w:pPr>
              <w:spacing w:line="240" w:lineRule="auto" w:after="40" w:before="40"/>
              <w:jc w:val="right"/>
            </w:pPr>
            <w:r>
              <w:rPr>
                <w:sz w:val="16"/>
              </w:rPr>
              <w:t>124,1</w:t>
            </w:r>
          </w:p>
        </w:tc>
        <w:tc>
          <w:tcPr>
            <w:tcW w:type="dxa" w:w="1337"/>
            <w:tcMar>
              <w:top w:w="50" w:type="dxa"/>
              <w:bottom w:w="50" w:type="dxa"/>
              <w:left w:w="60" w:type="dxa"/>
              <w:right w:w="60" w:type="dxa"/>
            </w:tcMar>
          </w:tcPr>
          <w:p>
            <w:pPr>
              <w:spacing w:line="240" w:lineRule="auto" w:after="40" w:before="40"/>
              <w:jc w:val="right"/>
            </w:pPr>
            <w:r>
              <w:rPr>
                <w:sz w:val="16"/>
              </w:rPr>
              <w:t>40,4</w:t>
            </w:r>
          </w:p>
        </w:tc>
        <w:tc>
          <w:tcPr>
            <w:tcW w:type="dxa" w:w="1337"/>
            <w:tcMar>
              <w:top w:w="50" w:type="dxa"/>
              <w:bottom w:w="50" w:type="dxa"/>
              <w:left w:w="60" w:type="dxa"/>
              <w:right w:w="60" w:type="dxa"/>
            </w:tcMar>
          </w:tcPr>
          <w:p>
            <w:pPr>
              <w:spacing w:line="240" w:lineRule="auto" w:after="40" w:before="40"/>
              <w:jc w:val="right"/>
            </w:pPr>
            <w:r>
              <w:rPr>
                <w:sz w:val="16"/>
              </w:rPr>
              <w:t>42,2</w:t>
            </w:r>
          </w:p>
        </w:tc>
      </w:tr>
      <w:tr>
        <w:tc>
          <w:tcPr>
            <w:tcW w:type="dxa" w:w="1337"/>
            <w:tcMar>
              <w:top w:w="50" w:type="dxa"/>
              <w:bottom w:w="50" w:type="dxa"/>
              <w:left w:w="60" w:type="dxa"/>
              <w:right w:w="60" w:type="dxa"/>
            </w:tcMar>
          </w:tcPr>
          <w:p>
            <w:pPr>
              <w:spacing w:line="240" w:lineRule="auto" w:after="40" w:before="40"/>
              <w:jc w:val="left"/>
            </w:pPr>
            <w:r>
              <w:rPr>
                <w:sz w:val="16"/>
              </w:rPr>
              <w:t>2025</w:t>
            </w:r>
          </w:p>
        </w:tc>
        <w:tc>
          <w:tcPr>
            <w:tcW w:type="dxa" w:w="1337"/>
            <w:tcMar>
              <w:top w:w="50" w:type="dxa"/>
              <w:bottom w:w="50" w:type="dxa"/>
              <w:left w:w="60" w:type="dxa"/>
              <w:right w:w="60" w:type="dxa"/>
            </w:tcMar>
          </w:tcPr>
          <w:p>
            <w:pPr>
              <w:spacing w:line="240" w:lineRule="auto" w:after="40" w:before="40"/>
              <w:jc w:val="right"/>
            </w:pPr>
            <w:r>
              <w:rPr>
                <w:sz w:val="16"/>
              </w:rPr>
              <w:t>114,4%</w:t>
            </w:r>
          </w:p>
        </w:tc>
        <w:tc>
          <w:tcPr>
            <w:tcW w:type="dxa" w:w="1337"/>
            <w:tcMar>
              <w:top w:w="50" w:type="dxa"/>
              <w:bottom w:w="50" w:type="dxa"/>
              <w:left w:w="60" w:type="dxa"/>
              <w:right w:w="60" w:type="dxa"/>
            </w:tcMar>
          </w:tcPr>
          <w:p>
            <w:pPr>
              <w:spacing w:line="240" w:lineRule="auto" w:after="40" w:before="40"/>
              <w:jc w:val="right"/>
            </w:pPr>
            <w:r>
              <w:rPr>
                <w:sz w:val="16"/>
              </w:rPr>
              <w:t>122,0%</w:t>
            </w:r>
          </w:p>
        </w:tc>
        <w:tc>
          <w:tcPr>
            <w:tcW w:type="dxa" w:w="1337"/>
            <w:tcMar>
              <w:top w:w="50" w:type="dxa"/>
              <w:bottom w:w="50" w:type="dxa"/>
              <w:left w:w="60" w:type="dxa"/>
              <w:right w:w="60" w:type="dxa"/>
            </w:tcMar>
          </w:tcPr>
          <w:p>
            <w:pPr>
              <w:spacing w:line="240" w:lineRule="auto" w:after="40" w:before="40"/>
              <w:jc w:val="right"/>
            </w:pPr>
            <w:r>
              <w:rPr>
                <w:sz w:val="16"/>
              </w:rPr>
              <w:t>119,8</w:t>
            </w:r>
          </w:p>
        </w:tc>
        <w:tc>
          <w:tcPr>
            <w:tcW w:type="dxa" w:w="1337"/>
            <w:tcMar>
              <w:top w:w="50" w:type="dxa"/>
              <w:bottom w:w="50" w:type="dxa"/>
              <w:left w:w="60" w:type="dxa"/>
              <w:right w:w="60" w:type="dxa"/>
            </w:tcMar>
          </w:tcPr>
          <w:p>
            <w:pPr>
              <w:spacing w:line="240" w:lineRule="auto" w:after="40" w:before="40"/>
              <w:jc w:val="right"/>
            </w:pPr>
            <w:r>
              <w:rPr>
                <w:sz w:val="16"/>
              </w:rPr>
              <w:t>127,0</w:t>
            </w:r>
          </w:p>
        </w:tc>
        <w:tc>
          <w:tcPr>
            <w:tcW w:type="dxa" w:w="1337"/>
            <w:tcMar>
              <w:top w:w="50" w:type="dxa"/>
              <w:bottom w:w="50" w:type="dxa"/>
              <w:left w:w="60" w:type="dxa"/>
              <w:right w:w="60" w:type="dxa"/>
            </w:tcMar>
          </w:tcPr>
          <w:p>
            <w:pPr>
              <w:spacing w:line="240" w:lineRule="auto" w:after="40" w:before="40"/>
              <w:jc w:val="right"/>
            </w:pPr>
            <w:r>
              <w:rPr>
                <w:sz w:val="16"/>
              </w:rPr>
              <w:t>40,7</w:t>
            </w:r>
          </w:p>
        </w:tc>
        <w:tc>
          <w:tcPr>
            <w:tcW w:type="dxa" w:w="1337"/>
            <w:tcMar>
              <w:top w:w="50" w:type="dxa"/>
              <w:bottom w:w="50" w:type="dxa"/>
              <w:left w:w="60" w:type="dxa"/>
              <w:right w:w="60" w:type="dxa"/>
            </w:tcMar>
          </w:tcPr>
          <w:p>
            <w:pPr>
              <w:spacing w:line="240" w:lineRule="auto" w:after="40" w:before="40"/>
              <w:jc w:val="right"/>
            </w:pPr>
            <w:r>
              <w:rPr>
                <w:sz w:val="16"/>
              </w:rPr>
              <w:t>43,2</w:t>
            </w:r>
          </w:p>
        </w:tc>
      </w:tr>
      <w:tr>
        <w:tc>
          <w:tcPr>
            <w:tcW w:type="dxa" w:w="1337"/>
            <w:shd w:fill="F2F2F2"/>
            <w:tcMar>
              <w:top w:w="50" w:type="dxa"/>
              <w:bottom w:w="50" w:type="dxa"/>
              <w:left w:w="60" w:type="dxa"/>
              <w:right w:w="60" w:type="dxa"/>
            </w:tcMar>
          </w:tcPr>
          <w:p>
            <w:pPr>
              <w:spacing w:line="240" w:lineRule="auto" w:after="40" w:before="40"/>
              <w:jc w:val="left"/>
            </w:pPr>
            <w:r>
              <w:rPr>
                <w:b/>
                <w:sz w:val="16"/>
              </w:rPr>
              <w:t>Total / Média</w:t>
            </w:r>
          </w:p>
        </w:tc>
        <w:tc>
          <w:tcPr>
            <w:tcW w:type="dxa" w:w="1337"/>
            <w:shd w:fill="F2F2F2"/>
            <w:tcMar>
              <w:top w:w="50" w:type="dxa"/>
              <w:bottom w:w="50" w:type="dxa"/>
              <w:left w:w="60" w:type="dxa"/>
              <w:right w:w="60" w:type="dxa"/>
            </w:tcMar>
          </w:tcPr>
          <w:p>
            <w:pPr>
              <w:spacing w:line="240" w:lineRule="auto" w:after="40" w:before="40"/>
              <w:jc w:val="right"/>
            </w:pPr>
            <w:r>
              <w:rPr>
                <w:b/>
                <w:sz w:val="16"/>
              </w:rPr>
              <w:t>79,3%</w:t>
            </w:r>
          </w:p>
        </w:tc>
        <w:tc>
          <w:tcPr>
            <w:tcW w:type="dxa" w:w="1337"/>
            <w:shd w:fill="F2F2F2"/>
            <w:tcMar>
              <w:top w:w="50" w:type="dxa"/>
              <w:bottom w:w="50" w:type="dxa"/>
              <w:left w:w="60" w:type="dxa"/>
              <w:right w:w="60" w:type="dxa"/>
            </w:tcMar>
          </w:tcPr>
          <w:p>
            <w:pPr>
              <w:spacing w:line="240" w:lineRule="auto" w:after="40" w:before="40"/>
              <w:jc w:val="right"/>
            </w:pPr>
            <w:r>
              <w:rPr>
                <w:b/>
                <w:sz w:val="16"/>
              </w:rPr>
              <w:t>84,7%</w:t>
            </w:r>
          </w:p>
        </w:tc>
        <w:tc>
          <w:tcPr>
            <w:tcW w:type="dxa" w:w="1337"/>
            <w:shd w:fill="F2F2F2"/>
            <w:tcMar>
              <w:top w:w="50" w:type="dxa"/>
              <w:bottom w:w="50" w:type="dxa"/>
              <w:left w:w="60" w:type="dxa"/>
              <w:right w:w="60" w:type="dxa"/>
            </w:tcMar>
          </w:tcPr>
          <w:p>
            <w:pPr>
              <w:spacing w:line="240" w:lineRule="auto" w:after="40" w:before="40"/>
              <w:jc w:val="right"/>
            </w:pPr>
            <w:r>
              <w:rPr>
                <w:b/>
                <w:sz w:val="16"/>
              </w:rPr>
              <w:t>761,4</w:t>
            </w:r>
          </w:p>
        </w:tc>
        <w:tc>
          <w:tcPr>
            <w:tcW w:type="dxa" w:w="1337"/>
            <w:shd w:fill="F2F2F2"/>
            <w:tcMar>
              <w:top w:w="50" w:type="dxa"/>
              <w:bottom w:w="50" w:type="dxa"/>
              <w:left w:w="60" w:type="dxa"/>
              <w:right w:w="60" w:type="dxa"/>
            </w:tcMar>
          </w:tcPr>
          <w:p>
            <w:pPr>
              <w:spacing w:line="240" w:lineRule="auto" w:after="40" w:before="40"/>
              <w:jc w:val="right"/>
            </w:pPr>
            <w:r>
              <w:rPr>
                <w:b/>
                <w:sz w:val="16"/>
              </w:rPr>
              <w:t>820,5</w:t>
            </w:r>
          </w:p>
        </w:tc>
        <w:tc>
          <w:tcPr>
            <w:tcW w:type="dxa" w:w="1337"/>
            <w:shd w:fill="F2F2F2"/>
            <w:tcMar>
              <w:top w:w="50" w:type="dxa"/>
              <w:bottom w:w="50" w:type="dxa"/>
              <w:left w:w="60" w:type="dxa"/>
              <w:right w:w="60" w:type="dxa"/>
            </w:tcMar>
          </w:tcPr>
          <w:p>
            <w:pPr>
              <w:spacing w:line="240" w:lineRule="auto" w:after="40" w:before="40"/>
              <w:jc w:val="right"/>
            </w:pPr>
            <w:r>
              <w:rPr>
                <w:b/>
                <w:sz w:val="16"/>
              </w:rPr>
              <w:t>258,9</w:t>
            </w:r>
          </w:p>
        </w:tc>
        <w:tc>
          <w:tcPr>
            <w:tcW w:type="dxa" w:w="1337"/>
            <w:shd w:fill="F2F2F2"/>
            <w:tcMar>
              <w:top w:w="50" w:type="dxa"/>
              <w:bottom w:w="50" w:type="dxa"/>
              <w:left w:w="60" w:type="dxa"/>
              <w:right w:w="60" w:type="dxa"/>
            </w:tcMar>
          </w:tcPr>
          <w:p>
            <w:pPr>
              <w:spacing w:line="240" w:lineRule="auto" w:after="40" w:before="40"/>
              <w:jc w:val="right"/>
            </w:pPr>
            <w:r>
              <w:rPr>
                <w:b/>
                <w:sz w:val="16"/>
              </w:rPr>
              <w:t>278,9</w:t>
            </w:r>
          </w:p>
        </w:tc>
      </w:tr>
    </w:tbl>
    <w:p>
      <w:pPr>
        <w:spacing w:before="40" w:after="240"/>
      </w:pPr>
      <w:r>
        <w:rPr>
          <w:i/>
          <w:sz w:val="17"/>
        </w:rPr>
        <w:t>Fonte: Elaborada pelos autores com base nos dados da CVM e BACEN/FGV (2016-2025).</w:t>
      </w:r>
    </w:p>
    <w:p>
      <w:pPr>
        <w:spacing w:before="320" w:after="160" w:line="276" w:lineRule="auto"/>
      </w:pPr>
      <w:r>
        <w:rPr>
          <w:b/>
          <w:color w:val="000000"/>
          <w:sz w:val="26"/>
        </w:rPr>
        <w:t>5. Conclusões e Implicações Práticas</w:t>
      </w:r>
    </w:p>
    <w:p>
      <w:pPr>
        <w:spacing w:line="360" w:lineRule="auto" w:after="120"/>
        <w:jc w:val="both"/>
      </w:pPr>
      <w:r>
        <w:t>A presente investigação comprovou empiricamente que a manutenção da mensuração a custo histórico para o ativo imobilizado — imposta pela vedação à reavaliação estabelecida na Lei nº 11.638/2007 e no CPC 27, combinada com a ausência de correção monetária das demonstrações contábeis desde a edição da Lei nº 9.249/1995 — gera distorções financeiras de magnitude material sobre o lucro reportado, a carga tributária efetiva e a distribuição de riqueza de companhias abertas brasileiras pertencentes a setores de capital intensivo.</w:t>
      </w:r>
    </w:p>
    <w:p>
      <w:pPr>
        <w:spacing w:line="360" w:lineRule="auto" w:after="120"/>
        <w:jc w:val="both"/>
      </w:pPr>
      <w:r>
        <w:t>A subavaliação sistemática da despesa de depreciação inflou o Lucro Líquido Contábil em 61,5% na média amostral, criando uma ilusão contábil de lucratividade que mascara a real capacidade operacional da firma. Esse resultado permitiu a incidência de tributação direta (IRPJ/CSLL) sobre ganhos inflacionários nominais da ordem de R$ 25,6 bilhões anuais, elevando a alíquota efetiva real para 67,8%. Simultaneamente, a distribuição compulsória de dividendos baseada em lucros fictícios provocou a descapitalização econômica involuntária das empresas.</w:t>
      </w:r>
    </w:p>
    <w:p>
      <w:pPr>
        <w:spacing w:line="360" w:lineRule="auto" w:after="120"/>
        <w:jc w:val="both"/>
      </w:pPr>
      <w:r>
        <w:t>Sob a perspectiva da gestão financeira e estrutura de capital, demonstrou-se que essa drenagem de liquidez empurra as companhias para um ciclo de endividamento forçado, no qual a captação de dívida passa a ser direcionada para financiar o Capex de manutenção da infraestrutura física pré-existente. Esse processo degrada os índices de alavancagem, encarece o custo da dívida (Kd) e eleva o custo médio ponderado de capital (WACC), destruindo valor econômico a longo prazo.</w:t>
      </w:r>
    </w:p>
    <w:p>
      <w:pPr>
        <w:spacing w:line="360" w:lineRule="auto" w:after="120"/>
        <w:jc w:val="both"/>
      </w:pPr>
      <w:r>
        <w:t>Recomenda-se enfaticamente aos órgãos reguladores e normatizadores (CVM e CPC) a edição de Orientação Técnica (OCPC) que estabeleça a divulgação obrigatória em Nota Explicativa da despesa de depreciação recalculada a valor de reposição corrente, restituindo a fidedignidade informacional aos analistas de mercado, investidores, comitês de auditoria e conselhos de administração na tomada de decisões estratégicas de investimento e distribuição de proventos.</w:t>
      </w:r>
    </w:p>
    <w:p>
      <w:pPr>
        <w:spacing w:before="320" w:after="160" w:line="276" w:lineRule="auto"/>
      </w:pPr>
      <w:r>
        <w:rPr>
          <w:b/>
          <w:color w:val="000000"/>
          <w:sz w:val="26"/>
        </w:rPr>
        <w:t>6. Agradecimentos</w:t>
      </w:r>
    </w:p>
    <w:p>
      <w:pPr>
        <w:spacing w:line="360" w:lineRule="auto" w:after="120"/>
        <w:jc w:val="both"/>
      </w:pPr>
      <w:r>
        <w:t>Ao corpo docente, coordenação e colegas do Programa de MBA em Finanças e Controladoria da USP/Esalq pelo ambiente de rigor acadêmico proporcionado. Ao orientador, Prof. Dr. Marcel Jaroski Barbosa, pelo direcionamento metodológico e pelas valiosas discussões conceituais ao longo do desenvolvimento deste estudo.</w:t>
      </w:r>
    </w:p>
    <w:p>
      <w:pPr>
        <w:spacing w:before="320" w:after="160" w:line="276" w:lineRule="auto"/>
      </w:pPr>
      <w:r>
        <w:rPr>
          <w:b/>
          <w:color w:val="000000"/>
          <w:sz w:val="26"/>
        </w:rPr>
        <w:t>7. Referências</w:t>
      </w:r>
    </w:p>
    <w:p>
      <w:pPr>
        <w:spacing w:line="240" w:lineRule="auto" w:after="120"/>
        <w:jc w:val="both"/>
      </w:pPr>
      <w:r>
        <w:t>AMBROZINI, M. A. O impacto do fim da correção monetária no resultado das companhias brasileiras de capital aberto e na distribuição de dividendos: estudo empírico no período de 1996 a 2004. 2006. 185 f. Dissertação (Mestrado em Controladoria e Contabilidade) – Faculdade de Economia, Administração e Contabilidade de Ribeirão Preto, Universidade de São Paulo, Ribeirão Preto, 2006.</w:t>
      </w:r>
    </w:p>
    <w:p>
      <w:pPr>
        <w:spacing w:line="240" w:lineRule="auto" w:after="120"/>
        <w:jc w:val="both"/>
      </w:pPr>
      <w:r>
        <w:t>ASSAF NETO, A. Estrutura e Análise de Balanços: um enfoque econômico-financeiro. 12. ed. São Paulo: Atlas, 2020.</w:t>
      </w:r>
    </w:p>
    <w:p>
      <w:pPr>
        <w:spacing w:line="240" w:lineRule="auto" w:after="120"/>
        <w:jc w:val="both"/>
      </w:pPr>
      <w:r>
        <w:t>BRASIL. Lei nº 6.404, de 15 de dezembro de 1976. Dispõe sobre as Sociedades por Ações. Diário Oficial da União, Brasília, DF, 17 dez. 1976.</w:t>
      </w:r>
    </w:p>
    <w:p>
      <w:pPr>
        <w:spacing w:line="240" w:lineRule="auto" w:after="120"/>
        <w:jc w:val="both"/>
      </w:pPr>
      <w:r>
        <w:t>BRASIL. Lei nº 9.249, de 26 de dezembro de 1995. Altera a legislação do imposto de renda das pessoas jurídicas e dá outras providências. Diário Oficial da União, Brasília, DF, 27 dez. 1995.</w:t>
      </w:r>
    </w:p>
    <w:p>
      <w:pPr>
        <w:spacing w:line="240" w:lineRule="auto" w:after="120"/>
        <w:jc w:val="both"/>
      </w:pPr>
      <w:r>
        <w:t>BRASIL. Lei nº 11.638, de 28 de dezembro de 2007. Altera e revoga dispositivos da Lei nº 6.404/1976 e da Lei nº 6.385/1976. Diário Oficial da União, Brasília, DF, 28 dez. 2007.</w:t>
      </w:r>
    </w:p>
    <w:p>
      <w:pPr>
        <w:spacing w:line="240" w:lineRule="auto" w:after="120"/>
        <w:jc w:val="both"/>
      </w:pPr>
      <w:r>
        <w:t>COMITÊ DE PRONUNCIAMENTOS CONTÁBEIS (CPC). Pronunciamento Técnico CPC 27: Ativo Imobilizado. Brasília: CPC, 2009. Disponível em: http://www.cpc.org.br. Acesso em: 27 ago. 2026.</w:t>
      </w:r>
    </w:p>
    <w:p>
      <w:pPr>
        <w:spacing w:line="240" w:lineRule="auto" w:after="120"/>
        <w:jc w:val="both"/>
      </w:pPr>
      <w:r>
        <w:t>COMISSÃO DE VALORES MOBILIÁRIOS (CVM). Portal de Dados Abertos CVM: Demonstrações Financeiras Padronizadas (DFP). Rio de Janeiro: CVM, 2026. Disponível em: https://dados.cvm.gov.br. Acesso em: 27 ago. 2026.</w:t>
      </w:r>
    </w:p>
    <w:p>
      <w:pPr>
        <w:spacing w:line="240" w:lineRule="auto" w:after="120"/>
        <w:jc w:val="both"/>
      </w:pPr>
      <w:r>
        <w:t>DAMODARAN, A. Avaliação de Investimentos: ferramentas e técnicas para a determinação do valor de qualquer ativo. 3. ed. Rio de Janeiro: Qualitymark, 2014.</w:t>
      </w:r>
    </w:p>
    <w:p>
      <w:pPr>
        <w:spacing w:line="240" w:lineRule="auto" w:after="120"/>
        <w:jc w:val="both"/>
      </w:pPr>
      <w:r>
        <w:t>GELBCKE, E. R.; SANTOS, A. dos; IUDÍCIBUS, S. de; MARTINS, E. Manual de Contabilidade Societária: aplicável a todas as sociedades de acordo com as normas internacionais e do CPC. 3. ed. São Paulo: Atlas, 2018.</w:t>
      </w:r>
    </w:p>
    <w:p>
      <w:pPr>
        <w:spacing w:line="240" w:lineRule="auto" w:after="120"/>
        <w:jc w:val="both"/>
      </w:pPr>
      <w:r>
        <w:t>HENDRIKSEN, E. S.; BREDA, M. F. V. Teoria da Contabilidade. São Paulo: Atlas, 1999.</w:t>
      </w:r>
    </w:p>
    <w:p>
      <w:pPr>
        <w:spacing w:line="240" w:lineRule="auto" w:after="120"/>
        <w:jc w:val="both"/>
      </w:pPr>
      <w:r>
        <w:t>INTERNATIONAL ACCOUNTING STANDARDS BOARD (IASB). International Accounting Standard 16: Property, Plant and Equipment. London: IFRS Foundation, 2003.</w:t>
      </w:r>
    </w:p>
    <w:p>
      <w:pPr>
        <w:spacing w:line="240" w:lineRule="auto" w:after="120"/>
        <w:jc w:val="both"/>
      </w:pPr>
      <w:r>
        <w:t>IUDÍCIBUS, S. de; MARTINS, E.; GELBCKE, E. R.; SANTOS, A. dos. Contabilidade Introdutória. 12. ed. São Paulo: Atlas, 2018.</w:t>
      </w:r>
    </w:p>
    <w:p>
      <w:pPr>
        <w:spacing w:line="240" w:lineRule="auto" w:after="120"/>
        <w:jc w:val="both"/>
      </w:pPr>
      <w:r>
        <w:t>MARION, J. C. Análise das Demonstrações Contábeis. 8. ed. São Paulo: Atlas, 2019.</w:t>
      </w:r>
    </w:p>
    <w:p>
      <w:pPr>
        <w:spacing w:line="240" w:lineRule="auto" w:after="120"/>
        <w:jc w:val="both"/>
      </w:pPr>
      <w:r>
        <w:t>MARTINS, E. Contabilidade de Custos. 11. ed. São Paulo: Atlas, 2018.</w:t>
      </w:r>
    </w:p>
    <w:p>
      <w:pPr>
        <w:spacing w:line="240" w:lineRule="auto" w:after="120"/>
        <w:jc w:val="both"/>
      </w:pPr>
      <w:r>
        <w:t>MODIGLIANI, F.; MILLER, M. H. Corporate income taxes and the cost of capital: a correction. The American Economic Review, v. 53, n. 3, p. 433-443, 1963.</w:t>
      </w:r>
    </w:p>
    <w:p>
      <w:pPr>
        <w:spacing w:line="240" w:lineRule="auto" w:after="120"/>
        <w:jc w:val="both"/>
      </w:pPr>
      <w:r>
        <w:t>SALOTTI, B. M.; CORRAR, L. J.; YOSHITAKE, M. Um estudo empírico sobre o fim da correção monetária integral e seu impacto na análise das demonstrações contábeis: uma análise setorial. UnB Contábil, Brasília, v. 9, n. 2, p. 189-221, 2006.</w:t>
      </w:r>
    </w:p>
    <w:p>
      <w:pPr>
        <w:spacing w:before="320" w:after="160" w:line="276" w:lineRule="auto"/>
      </w:pPr>
      <w:r>
        <w:rPr>
          <w:b/>
          <w:color w:val="000000"/>
          <w:sz w:val="26"/>
        </w:rPr>
        <w:t>Apêndice A — Formalização do Pipeline Computacional e Algoritmos</w:t>
      </w:r>
    </w:p>
    <w:p>
      <w:pPr>
        <w:spacing w:line="360" w:lineRule="auto" w:after="120"/>
        <w:jc w:val="both"/>
      </w:pPr>
      <w:r>
        <w:t>O pipeline computacional desenvolvido no pacote Python cvm_imobilizado opera de forma modular, automatizada e totalmente reprodutível. A arquitetura divide-se nos seguintes módulos funcionais: (i) CVMDownloader: realiza a ingestão assíncrona das DFPs consolidadas da CVM (2016–2025); (ii) CVMBalanceParser: executa o parsing relacional das tabelas BPA, DRE e DFC-MI; (iii) INCCProvider: conecta-se via API REST ao SGS do Banco Central do Brasil para extração das séries históricas de INCC e IGP-M; e (iv) ImobilizadoQuantModel: executa a modelagem econométrica formalizada pelas equações a seguir:</w:t>
      </w:r>
    </w:p>
    <w:p>
      <w:pPr>
        <w:spacing w:before="60" w:after="60" w:line="276" w:lineRule="auto"/>
      </w:pPr>
      <w:r>
        <w:rPr>
          <w:b/>
        </w:rPr>
        <w:t xml:space="preserve">1. Taxa Implícita de Depreciação: </w:t>
      </w:r>
      <m:oMathPara>
        <m:oMath>
          <m:sSub>
            <m:e>
              <m:r>
                <m:t>δ</m:t>
              </m:r>
            </m:e>
            <m:sub>
              <m:r>
                <m:t>i,t</m:t>
              </m:r>
            </m:sub>
          </m:sSub>
          <m:r>
            <m:t> = </m:t>
          </m:r>
          <m:f>
            <m:fPr>
              <m:type m:val="bar"/>
            </m:fPr>
            <m:num>
              <m:sSub>
                <m:e>
                  <m:r>
                    <m:t>Dep</m:t>
                  </m:r>
                </m:e>
                <m:sub>
                  <m:r>
                    <m:t>cont,i,t</m:t>
                  </m:r>
                </m:sub>
              </m:sSub>
            </m:num>
            <m:den>
              <m:sSub>
                <m:e>
                  <m:r>
                    <m:t>IB</m:t>
                  </m:r>
                </m:e>
                <m:sub>
                  <m:r>
                    <m:t>i,t</m:t>
                  </m:r>
                </m:sub>
              </m:sSub>
              <m:r>
                <m:t> - </m:t>
              </m:r>
              <m:sSub>
                <m:e>
                  <m:r>
                    <m:t>Obras</m:t>
                  </m:r>
                </m:e>
                <m:sub>
                  <m:r>
                    <m:t>i,t</m:t>
                  </m:r>
                </m:sub>
              </m:sSub>
            </m:den>
          </m:f>
        </m:oMath>
      </m:oMathPara>
    </w:p>
    <w:p>
      <w:pPr>
        <w:spacing w:before="60" w:after="60" w:line="276" w:lineRule="auto"/>
      </w:pPr>
      <w:r>
        <w:rPr>
          <w:b/>
        </w:rPr>
        <w:t xml:space="preserve">2. Vida Útil Média Estimada: </w:t>
      </w:r>
      <m:oMathPara>
        <m:oMath>
          <m:bar>
            <m:barPr>
              <m:pos m:val="top"/>
            </m:barPr>
            <m:e>
              <m:r>
                <m:t>T</m:t>
              </m:r>
            </m:e>
          </m:bar>
          <m:r>
            <m:t>_i,t = </m:t>
          </m:r>
          <m:f>
            <m:fPr>
              <m:type m:val="bar"/>
            </m:fPr>
            <m:num>
              <m:r>
                <m:t>1</m:t>
              </m:r>
            </m:num>
            <m:den>
              <m:sSub>
                <m:e>
                  <m:r>
                    <m:t>δ</m:t>
                  </m:r>
                </m:e>
                <m:sub>
                  <m:r>
                    <m:t>i,t</m:t>
                  </m:r>
                </m:sub>
              </m:sSub>
            </m:den>
          </m:f>
        </m:oMath>
      </m:oMathPara>
    </w:p>
    <w:p>
      <w:pPr>
        <w:spacing w:before="60" w:after="60" w:line="276" w:lineRule="auto"/>
      </w:pPr>
      <w:r>
        <w:rPr>
          <w:b/>
        </w:rPr>
        <w:t xml:space="preserve">3. Idade Média do Parque Imobilizado: </w:t>
      </w:r>
      <m:oMathPara>
        <m:oMath>
          <m:bar>
            <m:barPr>
              <m:pos m:val="top"/>
            </m:barPr>
            <m:e>
              <m:r>
                <m:t>t</m:t>
              </m:r>
            </m:e>
          </m:bar>
          <m:r>
            <m:t>_i,t = </m:t>
          </m:r>
          <m:f>
            <m:fPr>
              <m:type m:val="bar"/>
            </m:fPr>
            <m:num>
              <m:sSub>
                <m:e>
                  <m:r>
                    <m:t>DA</m:t>
                  </m:r>
                </m:e>
                <m:sub>
                  <m:r>
                    <m:t>i,t</m:t>
                  </m:r>
                </m:sub>
              </m:sSub>
            </m:num>
            <m:den>
              <m:sSub>
                <m:e>
                  <m:r>
                    <m:t>Dep</m:t>
                  </m:r>
                </m:e>
                <m:sub>
                  <m:r>
                    <m:t>cont,i,t</m:t>
                  </m:r>
                </m:sub>
              </m:sSub>
            </m:den>
          </m:f>
        </m:oMath>
      </m:oMathPara>
    </w:p>
    <w:p>
      <w:pPr>
        <w:spacing w:before="60" w:after="60" w:line="276" w:lineRule="auto"/>
      </w:pPr>
      <w:r>
        <w:rPr>
          <w:b/>
        </w:rPr>
        <w:t xml:space="preserve">4. Janela Retroativa em Meses: </w:t>
      </w:r>
      <m:oMathPara>
        <m:oMath>
          <m:sSub>
            <m:e>
              <m:r>
                <m:t>k</m:t>
              </m:r>
            </m:e>
            <m:sub>
              <m:r>
                <m:t>i,t</m:t>
              </m:r>
            </m:sub>
          </m:sSub>
          <m:r>
            <m:t> = round(12 × </m:t>
          </m:r>
          <m:bar>
            <m:barPr>
              <m:pos m:val="top"/>
            </m:barPr>
            <m:e>
              <m:r>
                <m:t>t</m:t>
              </m:r>
            </m:e>
          </m:bar>
          <m:r>
            <m:t>_i,t)</m:t>
          </m:r>
        </m:oMath>
      </m:oMathPara>
    </w:p>
    <w:p>
      <w:pPr>
        <w:spacing w:before="60" w:after="60" w:line="276" w:lineRule="auto"/>
      </w:pPr>
      <w:r>
        <w:rPr>
          <w:b/>
        </w:rPr>
        <w:t xml:space="preserve">5. Fator Inflacionário Acumulado: </w:t>
      </w:r>
      <m:oMathPara>
        <m:oMath>
          <m:sSub>
            <m:e>
              <m:r>
                <m:t>F</m:t>
              </m:r>
            </m:e>
            <m:sub>
              <m:r>
                <m:t>INCC</m:t>
              </m:r>
            </m:sub>
          </m:sSub>
          <m:r>
            <m:t>(i,t) = </m:t>
          </m:r>
          <m:f>
            <m:fPr>
              <m:type m:val="bar"/>
            </m:fPr>
            <m:num>
              <m:r>
                <m:t>I(t_0)</m:t>
              </m:r>
            </m:num>
            <m:den>
              <m:r>
                <m:t>I(t_0 - k_i,t)</m:t>
              </m:r>
            </m:den>
          </m:f>
        </m:oMath>
      </m:oMathPara>
    </w:p>
    <w:p>
      <w:pPr>
        <w:spacing w:before="60" w:after="60" w:line="276" w:lineRule="auto"/>
      </w:pPr>
      <w:r>
        <w:rPr>
          <w:b/>
        </w:rPr>
        <w:t xml:space="preserve">6. Depreciação Econômica Ajustada: </w:t>
      </w:r>
      <m:oMathPara>
        <m:oMath>
          <m:sSub>
            <m:e>
              <m:r>
                <m:t>Dep</m:t>
              </m:r>
            </m:e>
            <m:sub>
              <m:r>
                <m:t>real,i,t</m:t>
              </m:r>
            </m:sub>
          </m:sSub>
          <m:r>
            <m:t> = </m:t>
          </m:r>
          <m:sSub>
            <m:e>
              <m:r>
                <m:t>Dep</m:t>
              </m:r>
            </m:e>
            <m:sub>
              <m:r>
                <m:t>cont,i,t</m:t>
              </m:r>
            </m:sub>
          </m:sSub>
          <m:r>
            <m:t> × </m:t>
          </m:r>
          <m:sSub>
            <m:e>
              <m:r>
                <m:t>F</m:t>
              </m:r>
            </m:e>
            <m:sub>
              <m:r>
                <m:t>INCC</m:t>
              </m:r>
            </m:sub>
          </m:sSub>
          <m:r>
            <m:t>(i,t)</m:t>
          </m:r>
        </m:oMath>
      </m:oMathPara>
    </w:p>
    <w:p>
      <w:pPr>
        <w:spacing w:before="60" w:after="60" w:line="276" w:lineRule="auto"/>
      </w:pPr>
      <w:r>
        <w:rPr>
          <w:b/>
        </w:rPr>
        <w:t xml:space="preserve">7. Déficit Anual de Reposição (Erosão do Capital): </w:t>
      </w:r>
      <m:oMathPara>
        <m:oMath>
          <m:sSub>
            <m:e>
              <m:r>
                <m:t>ΔDep</m:t>
              </m:r>
            </m:e>
            <m:sub>
              <m:r>
                <m:t>i,t</m:t>
              </m:r>
            </m:sub>
          </m:sSub>
          <m:r>
            <m:t> = </m:t>
          </m:r>
          <m:sSub>
            <m:e>
              <m:r>
                <m:t>Dep</m:t>
              </m:r>
            </m:e>
            <m:sub>
              <m:r>
                <m:t>real,i,t</m:t>
              </m:r>
            </m:sub>
          </m:sSub>
          <m:r>
            <m:t> - </m:t>
          </m:r>
          <m:sSub>
            <m:e>
              <m:r>
                <m:t>Dep</m:t>
              </m:r>
            </m:e>
            <m:sub>
              <m:r>
                <m:t>cont,i,t</m:t>
              </m:r>
            </m:sub>
          </m:sSub>
        </m:oMath>
      </m:oMathPara>
    </w:p>
    <w:p>
      <w:pPr>
        <w:spacing w:before="60" w:after="60" w:line="276" w:lineRule="auto"/>
      </w:pPr>
      <w:r>
        <w:rPr>
          <w:b/>
        </w:rPr>
        <w:t xml:space="preserve">8. Tributo Inflacionário Oculto (IRPJ/CSLL): </w:t>
      </w:r>
      <m:oMathPara>
        <m:oMath>
          <m:sSub>
            <m:e>
              <m:r>
                <m:t>Tributo</m:t>
              </m:r>
            </m:e>
            <m:sub>
              <m:r>
                <m:t>oculto,i,t</m:t>
              </m:r>
            </m:sub>
          </m:sSub>
          <m:r>
            <m:t> = </m:t>
          </m:r>
          <m:sSub>
            <m:e>
              <m:r>
                <m:t>ΔDep</m:t>
              </m:r>
            </m:e>
            <m:sub>
              <m:r>
                <m:t>i,t</m:t>
              </m:r>
            </m:sub>
          </m:sSub>
          <m:r>
            <m:t> × 0,34</m:t>
          </m:r>
        </m:oMath>
      </m:oMathPara>
    </w:p>
    <w:p>
      <w:pPr>
        <w:spacing w:before="60" w:after="60" w:line="276" w:lineRule="auto"/>
      </w:pPr>
      <w:r>
        <w:rPr>
          <w:b/>
        </w:rPr>
        <w:t xml:space="preserve">9. Lucro Líquido Real: </w:t>
      </w:r>
      <m:oMathPara>
        <m:oMath>
          <m:sSub>
            <m:e>
              <m:r>
                <m:t>LL</m:t>
              </m:r>
            </m:e>
            <m:sub>
              <m:r>
                <m:t>real,i,t</m:t>
              </m:r>
            </m:sub>
          </m:sSub>
          <m:r>
            <m:t> = </m:t>
          </m:r>
          <m:sSub>
            <m:e>
              <m:r>
                <m:t>LL</m:t>
              </m:r>
            </m:e>
            <m:sub>
              <m:r>
                <m:t>cont,i,t</m:t>
              </m:r>
            </m:sub>
          </m:sSub>
          <m:r>
            <m:t> - </m:t>
          </m:r>
          <m:sSub>
            <m:e>
              <m:r>
                <m:t>ΔDep</m:t>
              </m:r>
            </m:e>
            <m:sub>
              <m:r>
                <m:t>i,t</m:t>
              </m:r>
            </m:sub>
          </m:sSub>
        </m:oMath>
      </m:oMathPara>
    </w:p>
    <w:p>
      <w:pPr>
        <w:spacing w:before="60" w:after="60" w:line="276" w:lineRule="auto"/>
      </w:pPr>
      <w:r>
        <w:rPr>
          <w:b/>
        </w:rPr>
        <w:t xml:space="preserve">10. Alíquota Efetiva Real: </w:t>
      </w:r>
      <m:oMathPara>
        <m:oMath>
          <m:sSub>
            <m:e>
              <m:r>
                <m:t>τ</m:t>
              </m:r>
            </m:e>
            <m:sub>
              <m:r>
                <m:t>efetiva_real,i,t</m:t>
              </m:r>
            </m:sub>
          </m:sSub>
          <m:r>
            <m:t> = </m:t>
          </m:r>
          <m:f>
            <m:fPr>
              <m:type m:val="bar"/>
            </m:fPr>
            <m:num>
              <m:sSub>
                <m:e>
                  <m:r>
                    <m:t>Provisão_IR_CSLL</m:t>
                  </m:r>
                </m:e>
                <m:sub>
                  <m:r>
                    <m:t>cont,i,t</m:t>
                  </m:r>
                </m:sub>
              </m:sSub>
            </m:num>
            <m:den>
              <m:sSub>
                <m:e>
                  <m:r>
                    <m:t>EBT</m:t>
                  </m:r>
                </m:e>
                <m:sub>
                  <m:r>
                    <m:t>real,i,t</m:t>
                  </m:r>
                </m:sub>
              </m:sSub>
            </m:den>
          </m:f>
        </m:oMath>
      </m:oMathPara>
    </w:p>
    <w:p>
      <w:pPr>
        <w:spacing w:before="60" w:after="60" w:line="276" w:lineRule="auto"/>
      </w:pPr>
      <w:r>
        <w:rPr>
          <w:b/>
        </w:rPr>
        <w:t xml:space="preserve">11. Emissão Compulsória de Dívida para Manutenção: </w:t>
      </w:r>
      <m:oMathPara>
        <m:oMath>
          <m:sSub>
            <m:e>
              <m:r>
                <m:t>ΔD</m:t>
              </m:r>
            </m:e>
            <m:sub>
              <m:r>
                <m:t>t</m:t>
              </m:r>
            </m:sub>
          </m:sSub>
          <m:r>
            <m:t> = </m:t>
          </m:r>
          <m:sSub>
            <m:e>
              <m:r>
                <m:t>Tributo</m:t>
              </m:r>
            </m:e>
            <m:sub>
              <m:r>
                <m:t>oculto,t</m:t>
              </m:r>
            </m:sub>
          </m:sSub>
          <m:r>
            <m:t> + </m:t>
          </m:r>
          <m:sSub>
            <m:e>
              <m:r>
                <m:t>Descap</m:t>
              </m:r>
            </m:e>
            <m:sub>
              <m:r>
                <m:t>acionistas,t</m:t>
              </m:r>
            </m:sub>
          </m:sSub>
        </m:oMath>
      </m:oMathPara>
    </w:p>
    <w:p>
      <w:pPr>
        <w:spacing w:before="60" w:after="60" w:line="276" w:lineRule="auto"/>
      </w:pPr>
      <w:r>
        <w:rPr>
          <w:b/>
        </w:rPr>
        <w:t xml:space="preserve">12. Estoque Intertemporal de Dívida: </w:t>
      </w:r>
      <m:oMathPara>
        <m:oMath>
          <m:sSub>
            <m:e>
              <m:r>
                <m:t>D</m:t>
              </m:r>
            </m:e>
            <m:sub>
              <m:r>
                <m:t>t</m:t>
              </m:r>
            </m:sub>
          </m:sSub>
          <m:r>
            <m:t> = </m:t>
          </m:r>
          <m:sSub>
            <m:e>
              <m:r>
                <m:t>D</m:t>
              </m:r>
            </m:e>
            <m:sub>
              <m:r>
                <m:t>t-1</m:t>
              </m:r>
            </m:sub>
          </m:sSub>
          <m:r>
            <m:t> × (1 + </m:t>
          </m:r>
          <m:sSub>
            <m:e>
              <m:r>
                <m:t>K</m:t>
              </m:r>
            </m:e>
            <m:sub>
              <m:r>
                <m:t>d,t-1</m:t>
              </m:r>
            </m:sub>
          </m:sSub>
          <m:r>
            <m:t>) + </m:t>
          </m:r>
          <m:sSub>
            <m:e>
              <m:r>
                <m:t>ΔD</m:t>
              </m:r>
            </m:e>
            <m:sub>
              <m:r>
                <m:t>t</m:t>
              </m:r>
            </m:sub>
          </m:sSub>
        </m:oMath>
      </m:oMathPara>
    </w:p>
    <w:p>
      <w:pPr>
        <w:spacing w:before="60" w:after="60" w:line="276" w:lineRule="auto"/>
      </w:pPr>
      <w:r>
        <w:rPr>
          <w:b/>
        </w:rPr>
        <w:t xml:space="preserve">13. Custo Médio Ponderado de Capital: </w:t>
      </w:r>
      <m:oMathPara>
        <m:oMath>
          <m:r>
            <m:t>WACC_t = w_d × </m:t>
          </m:r>
          <m:sSub>
            <m:e>
              <m:r>
                <m:t>K</m:t>
              </m:r>
            </m:e>
            <m:sub>
              <m:r>
                <m:t>d,t</m:t>
              </m:r>
            </m:sub>
          </m:sSub>
          <m:r>
            <m:t>(1 - 0,34) + w_e × </m:t>
          </m:r>
          <m:sSub>
            <m:e>
              <m:r>
                <m:t>K</m:t>
              </m:r>
            </m:e>
            <m:sub>
              <m:r>
                <m:t>e,t</m:t>
              </m:r>
            </m:sub>
          </m:sSub>
        </m:oMath>
      </m:oMathPara>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