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Dear Editors of Data &amp; Knowledge Engineering,</w:t>
      </w:r>
    </w:p>
    <w:p>
      <w:r>
        <w:t>Please consider our manuscript, "Correction-Aware Data Admission: Candidate-Bound Authorization and Field-Level Provenance for AI-Derived Updates," for publication as a research article in Data &amp; Knowledge Engineering.</w:t>
      </w:r>
    </w:p>
    <w:p>
      <w:r>
        <w:t>When people correct machine-proposed data before committing it to an authoritative database, the final value alone cannot identify the proposal they reviewed or distinguish the machine's output from the value they authorized. Equal-valued proposals with equivalent retained context may also be different authorization targets. Our manuscript specifies a correction-aware admission relation that preserves these distinctions, checks predecessor freshness, and atomically creates a complete successor with a source for every field.</w:t>
      </w:r>
    </w:p>
    <w:p>
      <w:r>
        <w:t>The contribution is a precise admission relation and a characterization of the information needed to distinguish its failure cases, rather than a new transaction or provenance primitive. Five paired histories establish class-wise irredundancy within the declared observation model. A Python/SQLite realization connects the relation to bounded Alloy analysis, selected formal-concrete projections, and a 35-case fault catalogue.</w:t>
      </w:r>
    </w:p>
    <w:p>
      <w:r>
        <w:t>The experiments separate authorization policy from storage design. An exact-binding event journal and the relational reference agree on all 165 corresponding comparison cases. A context journal accepts 15 equal-valued substitutions allowed by its value/context policy but rejected under instance authorization. A separate browser study characterizes review-to-confirmation binding and its display-trust boundary; current-version workloads characterize admission, reverse-trace, and storage costs. We report the scope and limitations of these results without claiming that one storage architecture uniquely provides the required behavior.</w:t>
      </w:r>
    </w:p>
    <w:p>
      <w:r>
        <w:t>We believe the manuscript fits the journal's interest in data representation, integrity, and knowledge-supported information management. Its focus is on how reviewed AI-derived updates become queryable authoritative data while preserving authorization and field-level provenance. The manuscript engages with prior work on transactions, version-specific approval, interactive data repair, and versioned provenance to identify the specific relation being contributed.</w:t>
      </w:r>
    </w:p>
    <w:p>
      <w:r>
        <w:t>The submission includes supplementary material containing formal details and supporting evidence. Versioned code, experimental records, and reproduction instructions are publicly available through the repository links in the manuscript. The manuscript also includes CRediT, funding, competing-interest, ethics, and generative-AI disclosures.</w:t>
      </w:r>
    </w:p>
    <w:p>
      <w:r>
        <w:t>Thank you for considering our manuscript.</w:t>
      </w:r>
    </w:p>
    <w:p>
      <w:r>
        <w:t>Sincerely,</w:t>
        <w:br/>
        <w:t>Peng Peng</w:t>
        <w:br/>
        <w:t>Corresponding author</w:t>
        <w:br/>
        <w:t>College of Computer Science and Electronic Engineering, Hunan University</w:t>
        <w:br/>
        <w:t>Lushan South Road, Yuelu District, Changsha 410082, China</w:t>
        <w:br/>
        <w:t>Email: hnu16pp@hnu.edu.cn</w:t>
      </w:r>
    </w:p>
    <w:sectPr w:rsidR="00FC693F" w:rsidRPr="0006063C" w:rsidSect="00034616">
      <w:pgSz w:w="11909" w:h="16834"/>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2"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52" w:lineRule="auto"/>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Liang Hanghao; Xuan Wentao; Chen Qile; Peng Peng</dc:creator>
  <cp:keywords/>
  <dc:description/>
  <cp:lastModifiedBy/>
  <cp:revision>1</cp:revision>
  <dcterms:created xsi:type="dcterms:W3CDTF">2013-12-23T23:15:00Z</dcterms:created>
  <dcterms:modified xsi:type="dcterms:W3CDTF">2013-12-23T23:15:00Z</dcterms:modified>
  <cp:category/>
</cp:coreProperties>
</file>