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r>
        <w:rPr>
          <w:b/>
        </w:rPr>
        <w:t>Correction-Aware Data Admission: Candidate-Bound Authorization and Field-Level Provenance for AI-Derived Updates</w:t>
      </w:r>
    </w:p>
    <w:p>
      <w:pPr>
        <w:pStyle w:val="ListBullet"/>
      </w:pPr>
      <w:r>
        <w:t>A correction-aware contract separates machine proposals from authorized values.</w:t>
      </w:r>
    </w:p>
    <w:p>
      <w:pPr>
        <w:pStyle w:val="ListBullet"/>
      </w:pPr>
      <w:r>
        <w:t>Paired histories establish conditional observation requirements for admission.</w:t>
      </w:r>
    </w:p>
    <w:p>
      <w:pPr>
        <w:pStyle w:val="ListBullet"/>
      </w:pPr>
      <w:r>
        <w:t>An exact-binding event journal matches all 165 reference comparison cases.</w:t>
      </w:r>
    </w:p>
    <w:p>
      <w:pPr>
        <w:pStyle w:val="ListBullet"/>
      </w:pPr>
      <w:r>
        <w:t>Browser controls expose the boundary between request binding and display trust.</w:t>
      </w:r>
    </w:p>
    <w:p>
      <w:pPr>
        <w:pStyle w:val="ListBullet"/>
      </w:pPr>
      <w:r>
        <w:t>Current-version measurements characterize admission, provenance, and storage.</w:t>
      </w:r>
    </w:p>
    <w:sectPr w:rsidR="00FC693F" w:rsidRPr="0006063C" w:rsidSect="00034616">
      <w:pgSz w:w="11909" w:h="16834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2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52" w:lineRule="auto"/>
      <w:contextualSpacing/>
    </w:pPr>
    <w:rPr>
      <w:rFonts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52" w:lineRule="auto"/>
      <w:contextualSpacing/>
    </w:pPr>
    <w:rPr>
      <w:rFonts w:ascii="Times New Roman" w:hAnsi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/>
  <dc:creator>Liang Hanghao; Xuan Wentao; Chen Qile; Peng Peng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