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总控端</w:t>
      </w: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42" w:name="_GoBack"/>
      <w:bookmarkEnd w:id="42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_Toc27418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_Toc27418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_Toc4290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_Toc4290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_Toc13187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_Toc13187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_Toc18048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_Toc18048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_Toc14461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_Toc14461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_Toc19360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_Toc19360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_Toc5512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_Toc5512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_Toc17772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_Toc17772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_Toc2810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_Toc2810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_Toc27600 </w:instrText>
      </w:r>
      <w:r>
        <w:fldChar w:fldCharType="separate"/>
      </w:r>
      <w:r>
        <w:rPr>
          <w:rFonts w:hint="eastAsia"/>
        </w:rPr>
        <w:t>3.模块设计</w:t>
      </w:r>
      <w:r>
        <w:tab/>
      </w:r>
      <w:r>
        <w:fldChar w:fldCharType="begin"/>
      </w:r>
      <w:r>
        <w:instrText xml:space="preserve"> PAGEREF _Toc27600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_Toc24894 </w:instrText>
      </w:r>
      <w:r>
        <w:fldChar w:fldCharType="separate"/>
      </w:r>
      <w:r>
        <w:rPr>
          <w:rFonts w:hint="eastAsia"/>
          <w:lang w:val="en-US" w:eastAsia="zh-CN"/>
        </w:rPr>
        <w:t>3.1任务获取</w:t>
      </w:r>
      <w:r>
        <w:tab/>
      </w:r>
      <w:r>
        <w:fldChar w:fldCharType="begin"/>
      </w:r>
      <w:r>
        <w:instrText xml:space="preserve"> PAGEREF _Toc24894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_Toc29654 </w:instrText>
      </w:r>
      <w:r>
        <w:fldChar w:fldCharType="separate"/>
      </w:r>
      <w:r>
        <w:rPr>
          <w:rFonts w:hint="eastAsia"/>
          <w:lang w:val="en-US" w:eastAsia="zh-CN"/>
        </w:rPr>
        <w:t>3.2结果处理</w:t>
      </w:r>
      <w:r>
        <w:tab/>
      </w:r>
      <w:r>
        <w:fldChar w:fldCharType="begin"/>
      </w:r>
      <w:r>
        <w:instrText xml:space="preserve"> PAGEREF _Toc29654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_Toc29525 </w:instrText>
      </w:r>
      <w:r>
        <w:fldChar w:fldCharType="separate"/>
      </w:r>
      <w:r>
        <w:rPr>
          <w:rFonts w:hint="eastAsia"/>
          <w:lang w:val="en-US" w:eastAsia="zh-CN"/>
        </w:rPr>
        <w:t>3.3任务发送</w:t>
      </w:r>
      <w:r>
        <w:tab/>
      </w:r>
      <w:r>
        <w:fldChar w:fldCharType="begin"/>
      </w:r>
      <w:r>
        <w:instrText xml:space="preserve"> PAGEREF _Toc29525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_Toc24372 </w:instrText>
      </w:r>
      <w:r>
        <w:fldChar w:fldCharType="separate"/>
      </w:r>
      <w:r>
        <w:rPr>
          <w:rFonts w:hint="eastAsia"/>
          <w:lang w:val="en-US" w:eastAsia="zh-CN"/>
        </w:rPr>
        <w:t>3.4结果接收</w:t>
      </w:r>
      <w:r>
        <w:tab/>
      </w:r>
      <w:r>
        <w:fldChar w:fldCharType="begin"/>
      </w:r>
      <w:r>
        <w:instrText xml:space="preserve"> PAGEREF _Toc24372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_Toc27632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r>
        <w:tab/>
      </w:r>
      <w:r>
        <w:fldChar w:fldCharType="begin"/>
      </w:r>
      <w:r>
        <w:instrText xml:space="preserve"> PAGEREF _Toc27632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_Toc26211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r>
        <w:tab/>
      </w:r>
      <w:r>
        <w:fldChar w:fldCharType="begin"/>
      </w:r>
      <w:r>
        <w:instrText xml:space="preserve"> PAGEREF _Toc26211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_Toc8199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r>
        <w:tab/>
      </w:r>
      <w:r>
        <w:fldChar w:fldCharType="begin"/>
      </w:r>
      <w:r>
        <w:instrText xml:space="preserve"> PAGEREF _Toc8199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_Toc5968 </w:instrText>
      </w:r>
      <w: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_Toc5968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_Toc10053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r>
        <w:tab/>
      </w:r>
      <w:r>
        <w:fldChar w:fldCharType="begin"/>
      </w:r>
      <w:r>
        <w:instrText xml:space="preserve"> PAGEREF _Toc10053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_Toc11946 </w:instrText>
      </w:r>
      <w: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r>
        <w:tab/>
      </w:r>
      <w:r>
        <w:fldChar w:fldCharType="begin"/>
      </w:r>
      <w:r>
        <w:instrText xml:space="preserve"> PAGEREF _Toc11946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_Toc26781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r>
        <w:tab/>
      </w:r>
      <w:r>
        <w:fldChar w:fldCharType="begin"/>
      </w:r>
      <w:r>
        <w:instrText xml:space="preserve"> PAGEREF _Toc26781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7530"/>
      <w:bookmarkStart w:id="1" w:name="_Toc87167153"/>
      <w:bookmarkStart w:id="2" w:name="_Toc133382108"/>
      <w:bookmarkStart w:id="3" w:name="_Toc133383077"/>
      <w:bookmarkStart w:id="4" w:name="_Toc82593941"/>
      <w:bookmarkStart w:id="5" w:name="_Toc27418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4290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spacing w:after="156" w:afterLines="50"/>
        <w:ind w:firstLine="420" w:firstLineChars="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总控端取出任务之后，经过语音转码、任务信息存入数据库，分别把任务发往识别引擎、ITN引擎、标点引擎、聚类引擎、叠音引擎，最终得到各个模块的中间结果文件。</w:t>
      </w:r>
    </w:p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13187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29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8"/>
      </w:pPr>
    </w:p>
    <w:p>
      <w:pPr>
        <w:pStyle w:val="3"/>
        <w:rPr>
          <w:rFonts w:asciiTheme="majorEastAsia" w:hAnsiTheme="majorEastAsia"/>
        </w:rPr>
      </w:pPr>
      <w:bookmarkStart w:id="8" w:name="_Toc18048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604"/>
      <w:bookmarkStart w:id="10" w:name="_Ref139963592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，简称（ASR）。</w:t>
      </w:r>
    </w:p>
    <w:p>
      <w:pPr>
        <w:pStyle w:val="28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1" w:name="_Toc14461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19360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获取redis里任务依次发往各服务端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正常处理不崩溃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22805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5512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17772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16"/>
        <w:tblW w:w="832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hint="eastAsia"/>
        </w:rPr>
      </w:pPr>
      <w:bookmarkStart w:id="16" w:name="_Toc2810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总控端部分主要包括一个任务接收线程，一个结果接收线程，一个任务发送线程，一个结果处理线程组成。</w:t>
      </w:r>
    </w:p>
    <w:p>
      <w:pPr>
        <w:spacing w:line="360" w:lineRule="auto"/>
        <w:ind w:firstLine="44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任务获取线程：阻塞的从Redis获取待处理任务，经过语音转码，任务信息记录数据库等操作，存入任务队列。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任务处理线程：从结果队列中取出服务端返回处理结果，根据服务端返回的处理码和是否走到最后一个服务端做相应处理。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sectPr>
          <w:footerReference r:id="rId6" w:type="default"/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任务发送线程:从任务队列中取已经转码好的语音，发送到识别服务端。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27600"/>
      <w:bookmarkStart w:id="18" w:name="_Toc131913822"/>
      <w:bookmarkStart w:id="19" w:name="_Toc82593951"/>
      <w:r>
        <w:rPr>
          <w:rFonts w:hint="eastAsia"/>
        </w:rPr>
        <w:t>3.模块设计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完成的功能有：从Redis任务列表中获取任务，控制语音任务在各个引擎服务端之间按一定顺序进行处理，记录任务处理状态与结果等信息到数据库。总控端总共有“3N+2”个线程，包括：1个主函数线程，1个原始任务获取线程，3N个关于任务发送、结果获取、结果处理的线程，N表示系统中开启的引擎服务端端的个数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原始任务获取线程主要负责从Redis任务队列中获取语音任务、插入语音任务到数据库、对原始语音进行转码、构造任务结构体TaskInfo压入第一个服务端的任务队列中。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0036"/>
      <w:bookmarkStart w:id="21" w:name="_Toc24894"/>
      <w:r>
        <w:rPr>
          <w:rFonts w:hint="eastAsia"/>
          <w:lang w:val="en-US" w:eastAsia="zh-CN"/>
        </w:rPr>
        <w:t>3.1任务获取</w:t>
      </w:r>
      <w:bookmarkEnd w:id="20"/>
      <w:bookmarkEnd w:id="21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原始任务获取线程对应线程函数为GetTaskThread(),具体处理流程如下：</w:t>
      </w:r>
    </w:p>
    <w:p>
      <w:pPr>
        <w:jc w:val="center"/>
        <w:rPr>
          <w:rFonts w:ascii="宋体" w:hAnsi="宋体" w:eastAsia="宋体" w:cs="宋体"/>
          <w:sz w:val="24"/>
        </w:rPr>
      </w:pPr>
      <w:r>
        <w:object>
          <v:shape id="_x0000_i1026" o:spt="75" type="#_x0000_t75" style="height:369.2pt;width:318.5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/>
    <w:p>
      <w:pPr>
        <w:widowControl w:val="0"/>
        <w:autoSpaceDE w:val="0"/>
        <w:autoSpaceDN w:val="0"/>
        <w:snapToGrid/>
        <w:spacing w:after="0"/>
        <w:rPr>
          <w:rFonts w:hint="eastAsia" w:ascii="新宋体" w:eastAsia="新宋体" w:cs="新宋体" w:hAnsiTheme="minorHAnsi"/>
          <w:color w:val="auto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新宋体" w:eastAsia="新宋体" w:cs="新宋体" w:hAnsiTheme="minorHAnsi"/>
          <w:color w:val="auto"/>
          <w:sz w:val="24"/>
          <w:szCs w:val="24"/>
          <w:shd w:val="pct10" w:color="auto" w:fill="FFFFFF"/>
        </w:rPr>
        <w:t>主要函数</w:t>
      </w:r>
      <w:r>
        <w:rPr>
          <w:rFonts w:hint="eastAsia" w:ascii="新宋体" w:eastAsia="新宋体" w:cs="新宋体" w:hAnsiTheme="minorHAnsi"/>
          <w:color w:val="auto"/>
          <w:sz w:val="24"/>
          <w:szCs w:val="24"/>
          <w:shd w:val="pct10" w:color="auto" w:fill="FFFFFF"/>
          <w:lang w:val="en-US" w:eastAsia="zh-CN"/>
        </w:rPr>
        <w:t>介绍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beginProcess(string serialNum,string audioName,string audioUrl,string XMLfilePath,SRVMANAGE* firstServer,int in_channels,string stereo_on,string ResultType);  //语音任务进行转码，获取语音时长，任务压入第一个服务端任务队列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insertTask(string serialNum,string audioName,string audioUrl,string XMLfilePath,string getResult);  //往数据表task_info中插入任务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std::map&lt;std::string, std::string&gt; getValInTaskInfo(string serialNum, string keyWord);  //根据serialNum, 获取数据库中的值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audio2pcm(TaskInfo *&amp; aNewTask,string stereo_on); //将语音转码为8k_16bit_pcm格式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float getAudioTimeLen(string audioFullName);       // 获取语音时长，单位：秒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setAudioTimeLen(string serialNum,float audioTimeLen);   //设置语音时长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2090"/>
      <w:bookmarkStart w:id="23" w:name="_Toc29654"/>
      <w:r>
        <w:rPr>
          <w:rFonts w:hint="eastAsia"/>
          <w:lang w:val="en-US" w:eastAsia="zh-CN"/>
        </w:rPr>
        <w:t>3.2结果处理</w:t>
      </w:r>
      <w:bookmarkEnd w:id="22"/>
      <w:bookmarkEnd w:id="23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</w:t>
      </w:r>
      <w:r>
        <w:rPr>
          <w:rFonts w:ascii="宋体" w:hAnsi="宋体" w:eastAsia="宋体" w:cs="宋体"/>
          <w:sz w:val="24"/>
        </w:rPr>
        <w:t>处理线程</w:t>
      </w:r>
      <w:r>
        <w:rPr>
          <w:rFonts w:hint="eastAsia" w:ascii="宋体" w:hAnsi="宋体" w:eastAsia="宋体" w:cs="宋体"/>
          <w:sz w:val="24"/>
        </w:rPr>
        <w:t>从</w:t>
      </w:r>
      <w:r>
        <w:rPr>
          <w:rFonts w:ascii="宋体" w:hAnsi="宋体" w:eastAsia="宋体" w:cs="宋体"/>
          <w:sz w:val="24"/>
        </w:rPr>
        <w:t>当前服务端的结果队列中</w:t>
      </w:r>
      <w:r>
        <w:rPr>
          <w:rFonts w:hint="eastAsia" w:ascii="宋体" w:hAnsi="宋体" w:eastAsia="宋体" w:cs="宋体"/>
          <w:sz w:val="24"/>
        </w:rPr>
        <w:t>循环</w:t>
      </w:r>
      <w:r>
        <w:rPr>
          <w:rFonts w:ascii="宋体" w:hAnsi="宋体" w:eastAsia="宋体" w:cs="宋体"/>
          <w:sz w:val="24"/>
        </w:rPr>
        <w:t>获取</w:t>
      </w:r>
      <w:r>
        <w:rPr>
          <w:rFonts w:hint="eastAsia" w:ascii="宋体" w:hAnsi="宋体" w:eastAsia="宋体" w:cs="宋体"/>
          <w:sz w:val="24"/>
        </w:rPr>
        <w:t>结果</w:t>
      </w:r>
      <w:r>
        <w:rPr>
          <w:rFonts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</w:rPr>
        <w:t>根据</w:t>
      </w:r>
      <w:r>
        <w:rPr>
          <w:rFonts w:ascii="宋体" w:hAnsi="宋体" w:eastAsia="宋体" w:cs="宋体"/>
          <w:sz w:val="24"/>
        </w:rPr>
        <w:t>任务是否被</w:t>
      </w:r>
      <w:r>
        <w:rPr>
          <w:rFonts w:hint="eastAsia" w:ascii="宋体" w:hAnsi="宋体" w:eastAsia="宋体" w:cs="宋体"/>
          <w:sz w:val="24"/>
        </w:rPr>
        <w:t>成功</w:t>
      </w:r>
      <w:r>
        <w:rPr>
          <w:rFonts w:ascii="宋体" w:hAnsi="宋体" w:eastAsia="宋体" w:cs="宋体"/>
          <w:sz w:val="24"/>
        </w:rPr>
        <w:t>处理、是否</w:t>
      </w:r>
      <w:r>
        <w:rPr>
          <w:rFonts w:hint="eastAsia" w:ascii="宋体" w:hAnsi="宋体" w:eastAsia="宋体" w:cs="宋体"/>
          <w:sz w:val="24"/>
        </w:rPr>
        <w:t>还有</w:t>
      </w:r>
      <w:r>
        <w:rPr>
          <w:rFonts w:ascii="宋体" w:hAnsi="宋体" w:eastAsia="宋体" w:cs="宋体"/>
          <w:sz w:val="24"/>
        </w:rPr>
        <w:t>下一个</w:t>
      </w:r>
      <w:r>
        <w:rPr>
          <w:rFonts w:hint="eastAsia" w:ascii="宋体" w:hAnsi="宋体" w:eastAsia="宋体" w:cs="宋体"/>
          <w:sz w:val="24"/>
        </w:rPr>
        <w:t>引擎</w:t>
      </w:r>
      <w:r>
        <w:rPr>
          <w:rFonts w:ascii="宋体" w:hAnsi="宋体" w:eastAsia="宋体" w:cs="宋体"/>
          <w:sz w:val="24"/>
        </w:rPr>
        <w:t>服务端</w:t>
      </w:r>
      <w:r>
        <w:rPr>
          <w:rFonts w:hint="eastAsia" w:ascii="宋体" w:hAnsi="宋体" w:eastAsia="宋体" w:cs="宋体"/>
          <w:sz w:val="24"/>
        </w:rPr>
        <w:t>来进行</w:t>
      </w:r>
      <w:r>
        <w:rPr>
          <w:rFonts w:ascii="宋体" w:hAnsi="宋体" w:eastAsia="宋体" w:cs="宋体"/>
          <w:sz w:val="24"/>
        </w:rPr>
        <w:t>不同的处理</w:t>
      </w:r>
      <w:r>
        <w:rPr>
          <w:rFonts w:hint="eastAsia" w:ascii="宋体" w:hAnsi="宋体" w:eastAsia="宋体" w:cs="宋体"/>
          <w:sz w:val="24"/>
        </w:rPr>
        <w:t>。当任务</w:t>
      </w:r>
      <w:r>
        <w:rPr>
          <w:rFonts w:ascii="宋体" w:hAnsi="宋体" w:eastAsia="宋体" w:cs="宋体"/>
          <w:sz w:val="24"/>
        </w:rPr>
        <w:t>被成功处理且</w:t>
      </w:r>
      <w:r>
        <w:rPr>
          <w:rFonts w:hint="eastAsia" w:ascii="宋体" w:hAnsi="宋体" w:eastAsia="宋体" w:cs="宋体"/>
          <w:sz w:val="24"/>
        </w:rPr>
        <w:t>当前</w:t>
      </w:r>
      <w:r>
        <w:rPr>
          <w:rFonts w:ascii="宋体" w:hAnsi="宋体" w:eastAsia="宋体" w:cs="宋体"/>
          <w:sz w:val="24"/>
        </w:rPr>
        <w:t>服务端不是最后一个服务端时，</w:t>
      </w:r>
      <w:r>
        <w:rPr>
          <w:rFonts w:hint="eastAsia" w:ascii="宋体" w:hAnsi="宋体" w:eastAsia="宋体" w:cs="宋体"/>
          <w:sz w:val="24"/>
        </w:rPr>
        <w:t>此</w:t>
      </w:r>
      <w:r>
        <w:rPr>
          <w:rFonts w:ascii="宋体" w:hAnsi="宋体" w:eastAsia="宋体" w:cs="宋体"/>
          <w:sz w:val="24"/>
        </w:rPr>
        <w:t>任务将被</w:t>
      </w:r>
      <w:r>
        <w:rPr>
          <w:rFonts w:hint="eastAsia" w:ascii="宋体" w:hAnsi="宋体" w:eastAsia="宋体" w:cs="宋体"/>
          <w:sz w:val="24"/>
        </w:rPr>
        <w:t>压入当前服务端的下一个服务端的任务队列，</w:t>
      </w:r>
      <w:r>
        <w:rPr>
          <w:rFonts w:ascii="宋体" w:hAnsi="宋体" w:eastAsia="宋体" w:cs="宋体"/>
          <w:sz w:val="24"/>
        </w:rPr>
        <w:t>以此实现</w:t>
      </w:r>
      <w:r>
        <w:rPr>
          <w:rFonts w:hint="eastAsia" w:ascii="宋体" w:hAnsi="宋体" w:eastAsia="宋体" w:cs="宋体"/>
          <w:sz w:val="24"/>
        </w:rPr>
        <w:t>任务</w:t>
      </w:r>
      <w:r>
        <w:rPr>
          <w:rFonts w:ascii="宋体" w:hAnsi="宋体" w:eastAsia="宋体" w:cs="宋体"/>
          <w:sz w:val="24"/>
        </w:rPr>
        <w:t>在各个服务端</w:t>
      </w:r>
      <w:r>
        <w:rPr>
          <w:rFonts w:hint="eastAsia" w:ascii="宋体" w:hAnsi="宋体" w:eastAsia="宋体" w:cs="宋体"/>
          <w:sz w:val="24"/>
        </w:rPr>
        <w:t>有序</w:t>
      </w:r>
      <w:r>
        <w:rPr>
          <w:rFonts w:ascii="宋体" w:hAnsi="宋体" w:eastAsia="宋体" w:cs="宋体"/>
          <w:sz w:val="24"/>
        </w:rPr>
        <w:t>进行处理。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</w:t>
      </w:r>
      <w:r>
        <w:rPr>
          <w:rFonts w:ascii="宋体" w:hAnsi="宋体" w:eastAsia="宋体" w:cs="宋体"/>
          <w:sz w:val="24"/>
        </w:rPr>
        <w:t>处理线程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线程函数为ResultProcThread(),流程图如下：</w:t>
      </w:r>
    </w:p>
    <w:p>
      <w:pPr>
        <w:jc w:val="center"/>
      </w:pPr>
      <w:r>
        <w:object>
          <v:shape id="_x0000_i1027" o:spt="75" type="#_x0000_t75" style="height:326.85pt;width:415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widowControl w:val="0"/>
        <w:autoSpaceDE w:val="0"/>
        <w:autoSpaceDN w:val="0"/>
        <w:snapToGrid/>
        <w:spacing w:after="0"/>
        <w:rPr>
          <w:rFonts w:hint="eastAsia" w:eastAsia="新宋体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新宋体" w:eastAsia="新宋体" w:cs="新宋体" w:hAnsiTheme="minorHAnsi"/>
          <w:color w:val="auto"/>
          <w:sz w:val="24"/>
          <w:szCs w:val="24"/>
          <w:shd w:val="pct10" w:color="auto" w:fill="FFFFFF"/>
        </w:rPr>
        <w:t>主要函数</w:t>
      </w:r>
      <w:r>
        <w:rPr>
          <w:rFonts w:hint="eastAsia" w:ascii="新宋体" w:eastAsia="新宋体" w:cs="新宋体" w:hAnsiTheme="minorHAnsi"/>
          <w:color w:val="auto"/>
          <w:sz w:val="24"/>
          <w:szCs w:val="24"/>
          <w:shd w:val="pct10" w:color="auto" w:fill="FFFFFF"/>
          <w:lang w:val="en-US" w:eastAsia="zh-CN"/>
        </w:rPr>
        <w:t>介绍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handleXMLfile(string xmlfile,string &amp;XMLResult,string oriAudioFullname);        //处理xml文件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void removeFile(string file);         //删除文件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void removeResultFile(string resultfilepath, string basename,string ResultType);   //删除中间结果文件及转码后语音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setEndTime(string serialNum,string voiceStatus,string failCause, string XMLResult);  //写语音处理结果到数据库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setFailCause(string serialNum, string failCause);  //记录失败原因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8590"/>
      <w:bookmarkStart w:id="25" w:name="_Toc29525"/>
      <w:r>
        <w:rPr>
          <w:rFonts w:hint="eastAsia"/>
          <w:lang w:val="en-US" w:eastAsia="zh-CN"/>
        </w:rPr>
        <w:t>3.3任务发送</w:t>
      </w:r>
      <w:bookmarkEnd w:id="24"/>
      <w:bookmarkEnd w:id="25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任务发送线程</w:t>
      </w:r>
      <w:r>
        <w:rPr>
          <w:rFonts w:hint="eastAsia" w:ascii="宋体" w:hAnsi="宋体" w:eastAsia="宋体" w:cs="宋体"/>
          <w:sz w:val="24"/>
        </w:rPr>
        <w:t>主要是从当前服务端的任务列表获取任务后，使用当前服务端的通信套接字，发送给当前服务端。</w:t>
      </w:r>
    </w:p>
    <w:p>
      <w:pPr>
        <w:ind w:left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线程函数为TaskSendThread(),流程图如下：</w:t>
      </w:r>
    </w:p>
    <w:p>
      <w:pPr>
        <w:jc w:val="center"/>
      </w:pPr>
      <w:r>
        <w:object>
          <v:shape id="_x0000_i1028" o:spt="75" type="#_x0000_t75" style="height:394.55pt;width:394.5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 xml:space="preserve">图6 </w:t>
      </w:r>
      <w:r>
        <w:t>TaskSendThread()</w:t>
      </w:r>
      <w:r>
        <w:rPr>
          <w:rFonts w:hint="eastAsia"/>
        </w:rPr>
        <w:t>函数</w:t>
      </w:r>
      <w:r>
        <w:t>流程图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615"/>
      <w:bookmarkStart w:id="27" w:name="_Toc24372"/>
      <w:r>
        <w:rPr>
          <w:rFonts w:hint="eastAsia"/>
          <w:lang w:val="en-US" w:eastAsia="zh-CN"/>
        </w:rPr>
        <w:t>3.4结果接收</w:t>
      </w:r>
      <w:bookmarkEnd w:id="26"/>
      <w:bookmarkEnd w:id="27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结果接收线程</w:t>
      </w:r>
      <w:r>
        <w:rPr>
          <w:rFonts w:hint="eastAsia" w:ascii="宋体" w:hAnsi="宋体" w:eastAsia="宋体" w:cs="宋体"/>
          <w:sz w:val="24"/>
        </w:rPr>
        <w:t>使用当前服务端的套接字，接收当前服务端的分析结果，并将结果放入当前服务端的结果队列。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结果</w:t>
      </w:r>
      <w:r>
        <w:rPr>
          <w:rFonts w:ascii="宋体" w:hAnsi="宋体" w:eastAsia="宋体" w:cs="宋体"/>
          <w:sz w:val="24"/>
        </w:rPr>
        <w:t>接收线程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的线程函数为ResultReceiveThread(),流程图如下：</w:t>
      </w:r>
    </w:p>
    <w:p>
      <w:pPr>
        <w:jc w:val="center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object>
          <v:shape id="_x0000_i1029" o:spt="75" type="#_x0000_t75" style="height:320.25pt;width:394.5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8">
            <o:LockedField>false</o:LockedField>
          </o:OLEObject>
        </w:objec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8" w:name="_Toc86757388"/>
      <w:bookmarkStart w:id="29" w:name="_Toc27632"/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bookmarkEnd w:id="28"/>
      <w:bookmarkEnd w:id="29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28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0" w:name="_Toc86757389"/>
      <w:bookmarkStart w:id="31" w:name="_Toc26211"/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bookmarkEnd w:id="30"/>
      <w:bookmarkEnd w:id="31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设置配置文件，方便使用不同控制逻辑，支持不同的功能及结果输出，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配置文件实现如下目的：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检测异常数据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引擎资源加载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数据库连接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服务地址配置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06"/>
        <w:gridCol w:w="3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MysqlServerIP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数据库IP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MysqlServerPort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数据库端口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MysqlDatabase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MysqlUser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数据库用户名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MysqlEncrypt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数据库密码是否加密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MysqlPassword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数据库密码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processorId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引擎服务器标识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redisCluster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false:true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R</w:t>
            </w:r>
            <w:r>
              <w:rPr>
                <w:rFonts w:hint="eastAsia" w:asciiTheme="minorEastAsia" w:hAnsiTheme="minorEastAsia" w:eastAsiaTheme="minorEastAsia"/>
                <w:sz w:val="24"/>
              </w:rPr>
              <w:t>edis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是否集群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redisIp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redisPort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Redis端口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redisIsPass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false:true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Redis单机是否有密码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redisPass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redisTaskList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范围0－1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Redis队列名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xmlPathPostfix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范围0－2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存放xml结果目录后缀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DeleteTempResult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false:true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是否删除中间结果文件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  <w:t>DeleteOriginalWav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false:true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是否删除原始语音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maxHandleThread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并行处理语音最大线数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checkPeriod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超时检查频率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taskCtrlShell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文件同步脚本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wavFormat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语音格式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logEvents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范围0－8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日志级别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logMaxLen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100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单个日志文件的最大长度</w:t>
            </w:r>
          </w:p>
        </w:tc>
      </w:tr>
    </w:tbl>
    <w:p>
      <w:pPr>
        <w:pStyle w:val="28"/>
        <w:rPr>
          <w:i/>
        </w:rPr>
      </w:pPr>
    </w:p>
    <w:p>
      <w:pPr>
        <w:pStyle w:val="3"/>
      </w:pPr>
      <w:bookmarkStart w:id="32" w:name="_Toc86757390"/>
      <w:bookmarkStart w:id="33" w:name="_Toc8199"/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bookmarkEnd w:id="32"/>
      <w:bookmarkEnd w:id="33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单声道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能正确转码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双声道语音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能正确转码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不删除原始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不删除原始语音，不删除原始语音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删除原始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删除原始语音，删除原始语音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vAlign w:val="top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不删除中间结果文件</w:t>
            </w:r>
          </w:p>
        </w:tc>
        <w:tc>
          <w:tcPr>
            <w:tcW w:w="4701" w:type="dxa"/>
            <w:vAlign w:val="top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不删除中间结果文件，不删除中间结果文件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删除中间结果文件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删除中间结果文件，删除中间结果文件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日志级别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调整不同的日志级别，日志输出内容不同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日志文件大小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调整日志文件大小，保存日志文件大小不同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bookmarkEnd w:id="18"/>
    <w:bookmarkEnd w:id="19"/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4" w:name="_Toc2962"/>
      <w:bookmarkStart w:id="35" w:name="_Toc5968"/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bookmarkEnd w:id="34"/>
      <w:bookmarkEnd w:id="35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总控端部分</w:t>
      </w:r>
      <w:r>
        <w:rPr>
          <w:rFonts w:hint="eastAsia" w:ascii="宋体" w:hAnsi="宋体" w:eastAsia="宋体" w:cs="宋体"/>
          <w:bCs/>
          <w:sz w:val="28"/>
          <w:szCs w:val="28"/>
        </w:rPr>
        <w:t>设计考虑了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实际</w:t>
      </w:r>
      <w:r>
        <w:rPr>
          <w:rFonts w:hint="eastAsia" w:ascii="宋体" w:hAnsi="宋体" w:eastAsia="宋体" w:cs="宋体"/>
          <w:bCs/>
          <w:sz w:val="28"/>
          <w:szCs w:val="28"/>
        </w:rPr>
        <w:t>应用场景的复杂性和输入的多样性的情况，内部加入了大部分实际情况中会出现的异常情况的处理方案，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socket连接异常断开重连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redis连接异常断开重连、数据库操作异常重试、文件完整性检查</w:t>
      </w:r>
      <w:r>
        <w:rPr>
          <w:rFonts w:hint="eastAsia" w:ascii="宋体" w:hAnsi="宋体" w:eastAsia="宋体" w:cs="宋体"/>
          <w:bCs/>
          <w:sz w:val="28"/>
          <w:szCs w:val="28"/>
        </w:rPr>
        <w:t>等异常事件的处理；并且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整套系统</w:t>
      </w:r>
      <w:r>
        <w:rPr>
          <w:rFonts w:hint="eastAsia" w:ascii="宋体" w:hAnsi="宋体" w:eastAsia="宋体" w:cs="宋体"/>
          <w:bCs/>
          <w:sz w:val="28"/>
          <w:szCs w:val="28"/>
        </w:rPr>
        <w:t>测试按照严格的7*24小时压力测试标准进行测试，同时也针对所有异常数据进行异常情况测试，保证引擎的稳定性和可靠性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6" w:name="_Toc20967"/>
      <w:bookmarkStart w:id="37" w:name="_Toc10053"/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bookmarkEnd w:id="36"/>
      <w:bookmarkEnd w:id="37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after="0" w:line="300" w:lineRule="auto"/>
        <w:ind w:firstLine="560" w:firstLineChars="200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总控端</w:t>
      </w:r>
      <w:r>
        <w:rPr>
          <w:rFonts w:hint="eastAsia" w:ascii="宋体" w:hAnsi="宋体" w:eastAsia="宋体" w:cs="宋体"/>
          <w:sz w:val="28"/>
          <w:szCs w:val="28"/>
        </w:rPr>
        <w:t>控制语音任务在各个引擎服务端之间按一定顺序进行处理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3N个关于任务发送、结果获取、结果处理的线程，N表示系统中开启的引擎服务端端的个数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可方便加入新的服务端模块，只需增加相关服务端配置，无需修改总控端代码。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bCs/>
          <w:sz w:val="28"/>
          <w:szCs w:val="28"/>
        </w:rPr>
        <w:t>本身遵循模块化设计，可以随时添加定制化功能，满足不同应用场景的需要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numPr>
          <w:ilvl w:val="0"/>
          <w:numId w:val="0"/>
        </w:numPr>
        <w:adjustRightInd/>
        <w:snapToGrid/>
        <w:spacing w:before="500" w:after="200"/>
        <w:ind w:left="2160" w:leftChars="0"/>
        <w:jc w:val="both"/>
      </w:pPr>
      <w:bookmarkStart w:id="38" w:name="_Toc14463"/>
      <w:bookmarkStart w:id="39" w:name="_Toc11946"/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bookmarkEnd w:id="38"/>
      <w:bookmarkEnd w:id="39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为了方便后期的引擎维护，采用标准c/c++函数同时在较低编译器上进行编译。</w:t>
      </w:r>
    </w:p>
    <w:p>
      <w:pPr>
        <w:ind w:firstLine="560" w:firstLineChars="200"/>
        <w:rPr>
          <w:rFonts w:ascii="微软雅黑" w:hAnsi="微软雅黑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总控端可配置cfg.cfg文件部分</w:t>
      </w:r>
      <w:r>
        <w:rPr>
          <w:rFonts w:hint="eastAsia" w:ascii="宋体" w:hAnsi="宋体" w:eastAsia="宋体" w:cs="宋体"/>
          <w:bCs/>
          <w:sz w:val="28"/>
          <w:szCs w:val="28"/>
        </w:rPr>
        <w:t>参数，保证了引擎的可配性和可维护性。常见参数如下：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#是否删除中间结果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DeleteTempResult=false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#是否删除原始语音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DeleteOriginalWav=false</w:t>
      </w:r>
    </w:p>
    <w:p>
      <w:pPr>
        <w:adjustRightInd/>
        <w:snapToGrid/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#日志级别</w:t>
      </w:r>
    </w:p>
    <w:p>
      <w:pPr>
        <w:adjustRightInd/>
        <w:snapToGrid/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logEvents=8     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0" w:name="_Toc3614"/>
      <w:bookmarkStart w:id="41" w:name="_Toc26781"/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bookmarkEnd w:id="40"/>
      <w:bookmarkEnd w:id="41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安装部署时有一键安装部署脚本，只需要执行脚本即可安装引擎转写系统及所需的中间件（如ffmpeg、sox、redis等），不需要安装人员逐个安装，减少操作量。系统启停均有对应的脚本，实现自动启动、停止服务。</w:t>
      </w:r>
    </w:p>
    <w:p/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1465336C"/>
    <w:rsid w:val="15A64401"/>
    <w:rsid w:val="28923062"/>
    <w:rsid w:val="2ABA1E2E"/>
    <w:rsid w:val="2C5E3138"/>
    <w:rsid w:val="384964CA"/>
    <w:rsid w:val="44BC3600"/>
    <w:rsid w:val="45025FDB"/>
    <w:rsid w:val="46AB2261"/>
    <w:rsid w:val="4C360786"/>
    <w:rsid w:val="53562013"/>
    <w:rsid w:val="573F1EA2"/>
    <w:rsid w:val="5EC13774"/>
    <w:rsid w:val="6323131E"/>
    <w:rsid w:val="668374D3"/>
    <w:rsid w:val="6D626D9D"/>
    <w:rsid w:val="724C54D8"/>
    <w:rsid w:val="741062B2"/>
    <w:rsid w:val="7B655563"/>
    <w:rsid w:val="7C322DFC"/>
    <w:rsid w:val="7CF054AC"/>
    <w:rsid w:val="7F8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5.bin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2021-11-05T09:06:36Z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