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离线总控端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bookmarkStart w:id="20" w:name="_GoBack"/>
      <w:bookmarkEnd w:id="20"/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_Toc1440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_Toc1440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_Toc27338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_Toc3584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_Toc19763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_Toc19763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_Toc29258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3.1任务消息：TaskInfo</w:t>
      </w:r>
      <w:r>
        <w:tab/>
      </w:r>
      <w:r>
        <w:fldChar w:fldCharType="begin"/>
      </w:r>
      <w:r>
        <w:instrText xml:space="preserve"> PAGEREF _Toc29258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_Toc871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3.2结果消息：ResultInfo</w:t>
      </w:r>
      <w:r>
        <w:tab/>
      </w:r>
      <w:r>
        <w:fldChar w:fldCharType="begin"/>
      </w:r>
      <w:r>
        <w:instrText xml:space="preserve"> PAGEREF _Toc871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_Toc5530 </w:instrText>
      </w:r>
      <w:r>
        <w:fldChar w:fldCharType="separate"/>
      </w:r>
      <w:r>
        <w:rPr>
          <w:rFonts w:hint="eastAsia"/>
          <w:lang w:val="en-US" w:eastAsia="zh-CN"/>
        </w:rPr>
        <w:t>3.3 总控端类及结构体定义</w:t>
      </w:r>
      <w:r>
        <w:tab/>
      </w:r>
      <w:r>
        <w:fldChar w:fldCharType="begin"/>
      </w:r>
      <w:r>
        <w:instrText xml:space="preserve"> PAGEREF _Toc5530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82593941"/>
      <w:bookmarkStart w:id="1" w:name="_Toc133387530"/>
      <w:bookmarkStart w:id="2" w:name="_Toc133383077"/>
      <w:bookmarkStart w:id="3" w:name="_Toc87167153"/>
      <w:bookmarkStart w:id="4" w:name="_Toc133382108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1440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27338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604"/>
      <w:bookmarkStart w:id="8" w:name="_Ref1399635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离线系统工程部分</w:t>
      </w:r>
      <w:r>
        <w:rPr>
          <w:rFonts w:ascii="宋体" w:hAnsi="宋体" w:eastAsia="宋体" w:cs="宋体"/>
          <w:sz w:val="28"/>
          <w:szCs w:val="28"/>
        </w:rPr>
        <w:t>主要功能：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处理能力接口接收客户端发送的任务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总控端从redis队列里阻塞取出任务，</w:t>
      </w:r>
      <w:r>
        <w:rPr>
          <w:rFonts w:hint="eastAsia" w:ascii="宋体" w:hAnsi="宋体" w:eastAsia="宋体" w:cs="宋体"/>
          <w:sz w:val="28"/>
          <w:szCs w:val="28"/>
        </w:rPr>
        <w:t>对原始语音进行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转码、任务信息入库。任务分别发往识别引擎、聚类引擎、叠音引擎、ITN引擎、标点引擎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358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离线工程部分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19763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本节主要介绍protobuf消息结构设计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和XML模块结构体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总控端和各服务端之间通信的消息结构的封装采用Google Protocol Buffer( 简称 Protobuf)，类TaskInfo用于表示语音任务，类ResultInfo用于表示处理结果。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1" w:name="_Toc14324"/>
      <w:bookmarkStart w:id="12" w:name="_Toc29258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3.1任务消息：TaskInfo</w:t>
      </w:r>
      <w:bookmarkEnd w:id="11"/>
      <w:bookmarkEnd w:id="12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//音频信息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audioname=2;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audiourl = 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channels=4;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 language=5;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keywordlist = 6;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resultfilePath = 7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xmlfilePath=8;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：音频文件的名称，例如：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.V3。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：音频的存放目录，例如：/home/</w:t>
      </w:r>
      <w:r>
        <w:rPr>
          <w:rFonts w:hint="eastAsia" w:ascii="宋体" w:hAnsi="宋体" w:cs="宋体"/>
          <w:sz w:val="24"/>
          <w:lang w:val="en-US" w:eastAsia="zh-CN"/>
        </w:rPr>
        <w:t>thinkit/tempvoice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根据2,3的拼接得到语音文件的绝对路径。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channels：音频的声道信息，0：单声道；1:双声道。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：音频语种信息，zhn：中文，eng：英语 .......。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若未设置，默认为zhn。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若未设置，则默认使用XML服务端目录下的关键词列表</w:t>
      </w:r>
      <w:r>
        <w:rPr>
          <w:rFonts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若未设置，则默认</w:t>
      </w:r>
      <w:r>
        <w:rPr>
          <w:rFonts w:ascii="宋体" w:hAnsi="宋体" w:eastAsia="宋体" w:cs="宋体"/>
          <w:sz w:val="24"/>
        </w:rPr>
        <w:t>与</w:t>
      </w:r>
      <w:r>
        <w:rPr>
          <w:rFonts w:ascii="Times New Roman" w:hAnsi="Times New Roman" w:cs="Times New Roman"/>
          <w:sz w:val="24"/>
        </w:rPr>
        <w:t>xmlfilePath</w:t>
      </w:r>
      <w:r>
        <w:rPr>
          <w:rFonts w:hint="eastAsia" w:ascii="Times New Roman" w:hAnsi="Times New Roman" w:cs="Times New Roman"/>
          <w:sz w:val="24"/>
        </w:rPr>
        <w:t>相同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宋体" w:hAnsi="宋体" w:eastAsia="宋体" w:cs="宋体"/>
          <w:sz w:val="24"/>
        </w:rPr>
        <w:t>务必给定</w:t>
      </w:r>
      <w:r>
        <w:rPr>
          <w:rFonts w:ascii="宋体" w:hAnsi="宋体" w:eastAsia="宋体" w:cs="宋体"/>
          <w:sz w:val="24"/>
        </w:rPr>
        <w:t>该路径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sz w:val="24"/>
        </w:rPr>
        <w:t>否则任务将处理失败。</w:t>
      </w:r>
    </w:p>
    <w:p>
      <w:pPr>
        <w:widowControl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总控端从数据库中获取每条语音任务的详细信息后，都将对应</w:t>
      </w:r>
      <w:r>
        <w:rPr>
          <w:rFonts w:ascii="Times New Roman" w:hAnsi="Times New Roman" w:eastAsia="宋体" w:cs="Times New Roman"/>
          <w:sz w:val="24"/>
        </w:rPr>
        <w:t>生成一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个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。当语音任务需要发送给某服务端前，再</w:t>
      </w:r>
      <w:r>
        <w:rPr>
          <w:rFonts w:hint="eastAsia" w:ascii="Times New Roman" w:hAnsi="Times New Roman" w:cs="Times New Roman"/>
          <w:sz w:val="24"/>
        </w:rPr>
        <w:t>将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序列化为一个字符串，发送给服务端进行处理。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871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3.2结果消息：ResultInfo</w:t>
      </w:r>
      <w:bookmarkEnd w:id="13"/>
      <w:bookmarkEnd w:id="14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errorCode = 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xmlfilePath = 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serialNum：音频文件的唯一性标识。与TaskInfo中serialNum对应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errorCode：结果错误码。 0表示正常返回，-1表示分析过程有错误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audioname：音频文件的名称。与TaskInfo中audioname对应。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xmlfilePath: xml结果存放路径。与TaskInfo中xmlfilePath对应。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各服务端每处理完一个TaskInfo任务后，将</w:t>
      </w:r>
      <w:r>
        <w:rPr>
          <w:rFonts w:ascii="宋体" w:hAnsi="宋体" w:eastAsia="宋体" w:cs="宋体"/>
          <w:sz w:val="24"/>
        </w:rPr>
        <w:t>相应</w:t>
      </w:r>
      <w:r>
        <w:rPr>
          <w:rFonts w:hint="eastAsia" w:ascii="宋体" w:hAnsi="宋体" w:eastAsia="宋体" w:cs="宋体"/>
          <w:sz w:val="24"/>
        </w:rPr>
        <w:t>构建一个ResultInfo，当需要将结果</w:t>
      </w:r>
      <w:r>
        <w:rPr>
          <w:rFonts w:hint="eastAsia" w:ascii="Times New Roman" w:hAnsi="Times New Roman" w:eastAsia="宋体" w:cs="Times New Roman"/>
          <w:sz w:val="24"/>
        </w:rPr>
        <w:t>反馈给总控端前，将</w:t>
      </w:r>
      <w:r>
        <w:rPr>
          <w:rFonts w:hint="eastAsia" w:ascii="宋体" w:hAnsi="宋体" w:eastAsia="宋体" w:cs="宋体"/>
          <w:sz w:val="24"/>
        </w:rPr>
        <w:t>ResultInfo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序列化为一个字符串，发送给总控端进行后续处理。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5530"/>
      <w:r>
        <w:rPr>
          <w:rFonts w:hint="eastAsia"/>
          <w:lang w:val="en-US" w:eastAsia="zh-CN"/>
        </w:rPr>
        <w:t>3.3 总控端类及结构体定义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本节主要整理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总控端模块</w:t>
      </w:r>
      <w:r>
        <w:rPr>
          <w:rFonts w:hint="eastAsia" w:ascii="宋体" w:hAnsi="宋体" w:eastAsia="宋体" w:cs="宋体"/>
          <w:sz w:val="28"/>
          <w:szCs w:val="28"/>
        </w:rPr>
        <w:t>的类。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8"/>
          <w:szCs w:val="28"/>
        </w:rPr>
        <w:t>每个服务端都会有一个任务发送线程、结果接收线程和</w:t>
      </w:r>
      <w:r>
        <w:rPr>
          <w:rFonts w:ascii="宋体" w:hAnsi="宋体" w:eastAsia="宋体" w:cs="宋体"/>
          <w:sz w:val="28"/>
          <w:szCs w:val="28"/>
        </w:rPr>
        <w:t>结果处理线程</w:t>
      </w:r>
      <w:r>
        <w:rPr>
          <w:rFonts w:hint="eastAsia" w:ascii="宋体" w:hAnsi="宋体" w:eastAsia="宋体" w:cs="宋体"/>
          <w:sz w:val="28"/>
          <w:szCs w:val="28"/>
        </w:rPr>
        <w:t>，在开启线程的时候会将相应服务端的信息：服务端名字、通信套接字、任务队列、结果队列，发送给线程，同时将该服务端的下一个服务端也会发送过去，相关结构体为：ServerBaseInfo、SRVMANAGE、ThreadParam。另外，语音编码格式通过枚举类型VoiceType表示。</w:t>
      </w:r>
    </w:p>
    <w:p>
      <w:pPr>
        <w:pStyle w:val="131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bookmarkStart w:id="16" w:name="_Toc489428896"/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服务端基本信息结构体：ServerBaseInfo</w:t>
      </w:r>
      <w:bookmarkEnd w:id="16"/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struct ServerBaseInfo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SOCKET consk;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string srvName;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string ip;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int port;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CRITICAL_SECTION mutex_update_socket;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>bool isSocketOk;</w:t>
      </w:r>
    </w:p>
    <w:p>
      <w:pPr>
        <w:widowControl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数据成员解释如下：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consk：总控端与该服务端通信的socket。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srvName：服务端名称。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ip：服务端ip。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port：服务端口号。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mutex_update_socket：consk的互斥锁。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isSocketOk：consk的连接状态。</w:t>
      </w:r>
    </w:p>
    <w:p>
      <w:pPr>
        <w:pStyle w:val="131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bookmarkStart w:id="17" w:name="_Toc489428897"/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服务端信息结构：SRVMANAGE</w:t>
      </w:r>
      <w:bookmarkEnd w:id="17"/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struct SRVMANAGE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int socket_try_times;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ServerBaseInfo srvInfo;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myQueue&lt;TaskInfo*&gt; tskQ;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myQueue&lt;ResultInfo*&gt; resQ;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SRVMANAGE()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socket_try_times = 0;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};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数据成员解释如下：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socket_try_times为总控端与该服务端通信的socket连接异常时，已经尝试重连的次数。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tskQ：该服务端的任务队列。TaskInfo结构体定义参见3.1。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resQ：该服务端的结果队列。ResultInfo结构体定义参见3.2。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srvInfo: 该服务端信息。</w:t>
      </w:r>
    </w:p>
    <w:p>
      <w:pPr>
        <w:pStyle w:val="131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bookmarkStart w:id="18" w:name="_Toc489428898"/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线程参数结构体：ThreadParam</w:t>
      </w:r>
      <w:bookmarkEnd w:id="18"/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struct ThreadParam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SRVMANAGE* curSrv;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SRVMANAGE* nextSrv;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 xml:space="preserve">      ThreadParam()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 xml:space="preserve">      {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 xml:space="preserve">          curSrv= nextSrv = NULL;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 xml:space="preserve">      }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};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数据成员解释如下：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curSrv：当前的服务端。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nextSrv：下一个服务端。</w:t>
      </w:r>
    </w:p>
    <w:p>
      <w:pPr>
        <w:pStyle w:val="131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bookmarkStart w:id="19" w:name="_Toc489428899"/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语音编码格式枚举类型：VoiceType</w:t>
      </w:r>
      <w:bookmarkEnd w:id="19"/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enum VoiceType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sum=0,          //多种格式混合语音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pcm=1,            //128kbps的pcm: 8k_16bit_PCM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vox=3,            //6k_4bit的vox: 6k_4bit_Vox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acm=6,            //adpcm</w:t>
      </w:r>
    </w:p>
    <w:p>
      <w:pP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mp3=8,            //MP3语音: 44100Hz_16bit_128kbps_mp3</w:t>
      </w:r>
    </w:p>
    <w:p>
      <w:pPr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2"/>
          <w:lang w:val="en-US" w:eastAsia="zh-CN" w:bidi="ar-SA"/>
        </w:rPr>
        <w:t>};</w:t>
      </w: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F7D62CC"/>
    <w:multiLevelType w:val="multilevel"/>
    <w:tmpl w:val="6F7D6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2B66F6"/>
    <w:multiLevelType w:val="multilevel"/>
    <w:tmpl w:val="702B6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F00460"/>
    <w:rsid w:val="06ED5A87"/>
    <w:rsid w:val="07E81E8B"/>
    <w:rsid w:val="080B2629"/>
    <w:rsid w:val="08CE5F4B"/>
    <w:rsid w:val="09021D1D"/>
    <w:rsid w:val="0AD520D5"/>
    <w:rsid w:val="0B0A6400"/>
    <w:rsid w:val="0DA66C2D"/>
    <w:rsid w:val="0E626FE1"/>
    <w:rsid w:val="0E9C2697"/>
    <w:rsid w:val="108E40CD"/>
    <w:rsid w:val="11584118"/>
    <w:rsid w:val="117A406B"/>
    <w:rsid w:val="12695B3C"/>
    <w:rsid w:val="13D669BD"/>
    <w:rsid w:val="13D81963"/>
    <w:rsid w:val="13DE2B7F"/>
    <w:rsid w:val="141364E7"/>
    <w:rsid w:val="149C6785"/>
    <w:rsid w:val="14DB58DE"/>
    <w:rsid w:val="151509C1"/>
    <w:rsid w:val="166E5311"/>
    <w:rsid w:val="17EF4BB8"/>
    <w:rsid w:val="181421EA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05098E"/>
    <w:rsid w:val="2B17574C"/>
    <w:rsid w:val="2C1A5930"/>
    <w:rsid w:val="2C6D3711"/>
    <w:rsid w:val="2D6E0AE2"/>
    <w:rsid w:val="2DE40B61"/>
    <w:rsid w:val="30246BEA"/>
    <w:rsid w:val="30946FEA"/>
    <w:rsid w:val="30AE40F0"/>
    <w:rsid w:val="311108CC"/>
    <w:rsid w:val="31E62CC6"/>
    <w:rsid w:val="324160B8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DAE1BE8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5C6ED9"/>
    <w:rsid w:val="45C9500C"/>
    <w:rsid w:val="4AC83796"/>
    <w:rsid w:val="4BD710F6"/>
    <w:rsid w:val="4C162E13"/>
    <w:rsid w:val="4C373D2D"/>
    <w:rsid w:val="4CCC2580"/>
    <w:rsid w:val="4D754F4A"/>
    <w:rsid w:val="4DF83069"/>
    <w:rsid w:val="4F574690"/>
    <w:rsid w:val="4F9C20BD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88A2C82"/>
    <w:rsid w:val="58B21858"/>
    <w:rsid w:val="5A73679B"/>
    <w:rsid w:val="5D282FC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CAB7A33"/>
    <w:rsid w:val="6E422B7C"/>
    <w:rsid w:val="704107EF"/>
    <w:rsid w:val="723D6B98"/>
    <w:rsid w:val="75AB440D"/>
    <w:rsid w:val="75F35D38"/>
    <w:rsid w:val="764C601A"/>
    <w:rsid w:val="76634AC3"/>
    <w:rsid w:val="76D84CC6"/>
    <w:rsid w:val="76E93476"/>
    <w:rsid w:val="786122D2"/>
    <w:rsid w:val="78D76992"/>
    <w:rsid w:val="78F70F9B"/>
    <w:rsid w:val="7D546BDB"/>
    <w:rsid w:val="7D707FF9"/>
    <w:rsid w:val="7DE3283B"/>
    <w:rsid w:val="7E1B65BB"/>
    <w:rsid w:val="7EBB4C98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qFormat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2021-11-05T06:00:03Z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