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POSTS 5 · 6 · 7 — with the right images</w:t>
      </w:r>
    </w:p>
    <w:p>
      <w:r>
        <w:rPr>
          <w:i/>
        </w:rPr>
        <w:t>Continues the campaign from where you stopped. Posts 1 to 4 are published. Each grey block is one post — select the whole block and copy.</w:t>
      </w:r>
    </w:p>
    <w:p>
      <w:pPr>
        <w:pStyle w:val="Heading2"/>
      </w:pPr>
      <w:r>
        <w:t>Read this first — two things the campaign master got wrong</w:t>
      </w:r>
    </w:p>
    <w:p>
      <w:r>
        <w:t>NUMBERING. You are posting in the campaign master’s order, so “5, 6, 7” means the Buyer’s Guide, How it works, and the receipts post. The original disti pack numbered the same posts differently, and it has no seventh post at all. Every post below is labelled by NAME as well as number so the two orders cannot be confused. Posts 5 and 6 are the original pack’s copy, unchanged. Post 7 did not exist in the original pack, so it is written here in the same voice.</w:t>
      </w:r>
    </w:p>
    <w:p>
      <w:r>
        <w:t>IMAGES. The campaign master listed OG cards. Those are the 1200 x 630 social cards that sit in a page’s &lt;head&gt; — they are NOT the hero banners, they live in different folders under different filenames, and for one of these three pages the hero does not exist at all. The table below names the exact file to attach for each post. Every path was opened and measured, not assumed.</w:t>
      </w:r>
    </w:p>
    <w:p>
      <w:pPr>
        <w:pStyle w:val="Heading2"/>
      </w:pPr>
      <w:r>
        <w:t>Attach these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t>Post</w:t>
            </w:r>
          </w:p>
        </w:tc>
        <w:tc>
          <w:tcPr>
            <w:tcW w:type="dxa" w:w="2412"/>
          </w:tcPr>
          <w:p>
            <w:r>
              <w:rPr>
                <w:b/>
              </w:rPr>
              <w:t>Attach this file</w:t>
            </w:r>
          </w:p>
        </w:tc>
        <w:tc>
          <w:tcPr>
            <w:tcW w:type="dxa" w:w="2412"/>
          </w:tcPr>
          <w:p>
            <w:r>
              <w:rPr>
                <w:b/>
              </w:rPr>
              <w:t>Size</w:t>
            </w:r>
          </w:p>
        </w:tc>
        <w:tc>
          <w:tcPr>
            <w:tcW w:type="dxa" w:w="2412"/>
          </w:tcPr>
          <w:p>
            <w:r>
              <w:rPr>
                <w:b/>
              </w:rPr>
              <w:t>Hero exists?</w:t>
            </w:r>
          </w:p>
        </w:tc>
      </w:tr>
      <w:tr>
        <w:tc>
          <w:tcPr>
            <w:tcW w:type="dxa" w:w="2412"/>
          </w:tcPr>
          <w:p>
            <w:r>
              <w:t>5 · The AEO Buyer's Guide — three short reads</w:t>
            </w:r>
          </w:p>
        </w:tc>
        <w:tc>
          <w:tcPr>
            <w:tcW w:type="dxa" w:w="2412"/>
          </w:tcPr>
          <w:p>
            <w:r>
              <w:t>public/img/buyer-series/aeo-buyers-guide-hero-1600x900.jpg</w:t>
            </w:r>
          </w:p>
        </w:tc>
        <w:tc>
          <w:tcPr>
            <w:tcW w:type="dxa" w:w="2412"/>
          </w:tcPr>
          <w:p>
            <w:r>
              <w:t>1600 x 900</w:t>
            </w:r>
          </w:p>
        </w:tc>
        <w:tc>
          <w:tcPr>
            <w:tcW w:type="dxa" w:w="2412"/>
          </w:tcPr>
          <w:p>
            <w:r>
              <w:t>yes</w:t>
            </w:r>
          </w:p>
        </w:tc>
      </w:tr>
      <w:tr>
        <w:tc>
          <w:tcPr>
            <w:tcW w:type="dxa" w:w="2412"/>
          </w:tcPr>
          <w:p>
            <w:r>
              <w:t>6 · How AEO Analyzers works</w:t>
            </w:r>
          </w:p>
        </w:tc>
        <w:tc>
          <w:tcPr>
            <w:tcW w:type="dxa" w:w="2412"/>
          </w:tcPr>
          <w:p>
            <w:r>
              <w:t>public/blog/how-it-works/visual-1-pipeline.png</w:t>
            </w:r>
          </w:p>
        </w:tc>
        <w:tc>
          <w:tcPr>
            <w:tcW w:type="dxa" w:w="2412"/>
          </w:tcPr>
          <w:p>
            <w:r>
              <w:t>1672 x 941</w:t>
            </w:r>
          </w:p>
        </w:tc>
        <w:tc>
          <w:tcPr>
            <w:tcW w:type="dxa" w:w="2412"/>
          </w:tcPr>
          <w:p>
            <w:r>
              <w:t>NO — see the note on the post</w:t>
            </w:r>
          </w:p>
        </w:tc>
      </w:tr>
      <w:tr>
        <w:tc>
          <w:tcPr>
            <w:tcW w:type="dxa" w:w="2412"/>
          </w:tcPr>
          <w:p>
            <w:r>
              <w:t>7 · 42% of what? — the receipts post</w:t>
            </w:r>
          </w:p>
        </w:tc>
        <w:tc>
          <w:tcPr>
            <w:tcW w:type="dxa" w:w="2412"/>
          </w:tcPr>
          <w:p>
            <w:r>
              <w:t>public/img/buyer-series/aeo-buyers-standard-og-1200x630.jpg</w:t>
            </w:r>
          </w:p>
        </w:tc>
        <w:tc>
          <w:tcPr>
            <w:tcW w:type="dxa" w:w="2412"/>
          </w:tcPr>
          <w:p>
            <w:r>
              <w:t>1200 x 630</w:t>
            </w:r>
          </w:p>
        </w:tc>
        <w:tc>
          <w:tcPr>
            <w:tcW w:type="dxa" w:w="2412"/>
          </w:tcPr>
          <w:p>
            <w:r>
              <w:t>yes</w:t>
            </w:r>
          </w:p>
        </w:tc>
      </w:tr>
    </w:tbl>
    <w:p/>
    <w:p>
      <w:r>
        <w:rPr>
          <w:b/>
        </w:rPr>
        <w:t xml:space="preserve">5 · </w:t>
      </w:r>
      <w:r>
        <w:t>Hero and OG both exist. The hero reads “AEO software explained — Monitoring is not diagnosis. Diagnosis is not proof.”, which is the series card rather than this page's headline. Rather than wait for new art, the post copy now carries that exact line — “the thread running through all three: monitoring is not diagnosis, and diagnosis is not proof” — so the image and the words agree and the card reads as deliberate. Post it as is. The matched replacement stays queued as FIX 3 in Downloads\AEO-IMAGE-FIXES\README-FIXES.md, but nothing is now waiting on it.</w:t>
      </w:r>
    </w:p>
    <w:p>
      <w:r>
        <w:rPr>
          <w:b/>
        </w:rPr>
        <w:t xml:space="preserve">6 · </w:t>
      </w:r>
      <w:r>
        <w:t>THERE IS NO HERO FOR THIS PAGE. It has an OG card (public/og-blog-how-it-works.png, 1200 x 630) and six in-body diagrams, nothing else. Attach visual-1-pipeline.png instead: it IS the drawing the post is about, it carries the logo and the wordmark, and it is the strongest single image in the whole series. It is dense in a feed at thumbnail size — which is fine here, because the post's promise is “the whole pipeline, drawn” and the tap-to-expand is the point. Fall back to the OG card only if you want a lighter image.</w:t>
      </w:r>
    </w:p>
    <w:p>
      <w:r>
        <w:rPr>
          <w:b/>
        </w:rPr>
        <w:t xml:space="preserve">7 · </w:t>
      </w:r>
      <w:r>
        <w:t>This post has no page of its own — it pulls one idea out of the Buyer's Standard, so it borrows that page's art. You already used the 1600x900 HERO on the Buyer's Standard post, so attach the 1200x630 OG here: same seven cards, different composition and a different headline line, so the feed does not show your audience the same picture twice. Both have RECEIPTS as a labelled card, which is exactly what this post is about.</w:t>
      </w:r>
    </w:p>
    <w:p>
      <w:r>
        <w:br w:type="page"/>
      </w:r>
    </w:p>
    <w:p>
      <w:pPr>
        <w:pStyle w:val="Heading1"/>
      </w:pPr>
      <w:r>
        <w:t>5 · The AEO Buyer's Guide — three short reads</w:t>
      </w:r>
    </w:p>
    <w:p>
      <w:r>
        <w:rPr>
          <w:b/>
        </w:rPr>
        <w:t xml:space="preserve">Why this one here: </w:t>
      </w:r>
      <w:r>
        <w:t>The catch-all. Anyone who missed 1 to 4 can still get the whole buying model in six minutes, and it links down into all three of the longer pages.</w:t>
      </w:r>
    </w:p>
    <w:p>
      <w:r>
        <w:rPr>
          <w:b/>
        </w:rPr>
        <w:t xml:space="preserve">ATTACH: </w:t>
      </w:r>
      <w:r>
        <w:t>public/img/buyer-series/aeo-buyers-guide-hero-1600x900.jpg  (1600 x 900)</w:t>
      </w:r>
    </w:p>
    <w:p>
      <w:r>
        <w:rPr>
          <w:b/>
        </w:rPr>
        <w:t xml:space="preserve">Hero: </w:t>
      </w:r>
      <w:r>
        <w:t>public/img/buyer-series/aeo-buyers-guide-hero-1600x900.jpg</w:t>
      </w:r>
    </w:p>
    <w:p>
      <w:r>
        <w:rPr>
          <w:b/>
        </w:rPr>
        <w:t xml:space="preserve">OG card: </w:t>
      </w:r>
      <w:r>
        <w:t>public/img/buyer-series/aeo-buyers-guide-og-1200x630.jpg</w:t>
      </w:r>
    </w:p>
    <w:p>
      <w:r>
        <w:rPr>
          <w:b/>
        </w:rPr>
        <w:t xml:space="preserve">Link: </w:t>
      </w:r>
      <w:r>
        <w:t>https://aeoanalyzers.com/aeo-buyers-guide</w:t>
      </w:r>
    </w:p>
    <w:p>
      <w:r>
        <w:rPr>
          <w:b/>
        </w:rPr>
        <w:t xml:space="preserve">Source: </w:t>
      </w:r>
      <w:r>
        <w:t>original disti pack, post 5 — unchanged</w:t>
      </w:r>
    </w:p>
    <w:p>
      <w:pPr>
        <w:pStyle w:val="Heading2"/>
      </w:pPr>
      <w:r>
        <w:t>LinkedIn / Facebook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The thread running through all three: monitoring is not diagnosis, and diagnosis is not proof.</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r>
        <w:br w:type="page"/>
      </w:r>
    </w:p>
    <w:p>
      <w:pPr>
        <w:pStyle w:val="Heading1"/>
      </w:pPr>
      <w:r>
        <w:t>6 · How AEO Analyzers works</w:t>
      </w:r>
    </w:p>
    <w:p>
      <w:r>
        <w:rPr>
          <w:b/>
        </w:rPr>
        <w:t xml:space="preserve">Why this one here: </w:t>
      </w:r>
      <w:r>
        <w:t>Product mechanics, deliberately late. By now the audience has the category, the standard and the buying problem, so this reads as evidence rather than a pitch.</w:t>
      </w:r>
    </w:p>
    <w:p>
      <w:r>
        <w:rPr>
          <w:b/>
        </w:rPr>
        <w:t xml:space="preserve">ATTACH: </w:t>
      </w:r>
      <w:r>
        <w:t>public/blog/how-it-works/visual-1-pipeline.png  (1672 x 941)</w:t>
      </w:r>
    </w:p>
    <w:p>
      <w:r>
        <w:rPr>
          <w:b/>
        </w:rPr>
        <w:t xml:space="preserve">Hero: </w:t>
      </w:r>
      <w:r>
        <w:t>none exists for this page</w:t>
      </w:r>
    </w:p>
    <w:p>
      <w:r>
        <w:rPr>
          <w:b/>
        </w:rPr>
        <w:t xml:space="preserve">OG card: </w:t>
      </w:r>
      <w:r>
        <w:t>public/og-blog-how-it-works.png</w:t>
      </w:r>
    </w:p>
    <w:p>
      <w:r>
        <w:rPr>
          <w:b/>
        </w:rPr>
        <w:t xml:space="preserve">Link: </w:t>
      </w:r>
      <w:r>
        <w:t>https://aeoanalyzers.com/blog/how-it-works</w:t>
      </w:r>
    </w:p>
    <w:p>
      <w:r>
        <w:rPr>
          <w:b/>
        </w:rPr>
        <w:t xml:space="preserve">Source: </w:t>
      </w:r>
      <w:r>
        <w:t>original disti pack, post 6 — unchanged</w:t>
      </w:r>
    </w:p>
    <w:p>
      <w:pPr>
        <w:pStyle w:val="Heading2"/>
      </w:pPr>
      <w:r>
        <w:t>LinkedIn / Facebook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four answer engines your buyers' questions with web search on — one or more times each, depending on how many questions you ask, and the per-cell N is printed on every number.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r>
        <w:br w:type="page"/>
      </w:r>
    </w:p>
    <w:p>
      <w:pPr>
        <w:pStyle w:val="Heading1"/>
      </w:pPr>
      <w:r>
        <w:t>7 · 42% of what? — the receipts post</w:t>
      </w:r>
    </w:p>
    <w:p>
      <w:r>
        <w:rPr>
          <w:b/>
        </w:rPr>
        <w:t xml:space="preserve">Why this one here: </w:t>
      </w:r>
      <w:r>
        <w:t>The closer. One idea, no page of its own, built to be screenshotted and taken into a procurement meeting by people who will never read the rest of the series.</w:t>
      </w:r>
    </w:p>
    <w:p>
      <w:r>
        <w:rPr>
          <w:b/>
        </w:rPr>
        <w:t xml:space="preserve">ATTACH: </w:t>
      </w:r>
      <w:r>
        <w:t>public/img/buyer-series/aeo-buyers-standard-og-1200x630.jpg  (1200 x 630)</w:t>
      </w:r>
    </w:p>
    <w:p>
      <w:r>
        <w:rPr>
          <w:b/>
        </w:rPr>
        <w:t xml:space="preserve">Hero: </w:t>
      </w:r>
      <w:r>
        <w:t>public/img/buyer-series/aeo-buyers-standard-hero-1600x900.jpg</w:t>
      </w:r>
    </w:p>
    <w:p>
      <w:r>
        <w:rPr>
          <w:b/>
        </w:rPr>
        <w:t xml:space="preserve">OG card: </w:t>
      </w:r>
      <w:r>
        <w:t>public/img/buyer-series/aeo-buyers-standard-og-1200x630.jpg</w:t>
      </w:r>
    </w:p>
    <w:p>
      <w:r>
        <w:rPr>
          <w:b/>
        </w:rPr>
        <w:t xml:space="preserve">Link: </w:t>
      </w:r>
      <w:r>
        <w:t>https://aeoanalyzers.com/aeo-buyers-standard</w:t>
      </w:r>
    </w:p>
    <w:p>
      <w:r>
        <w:rPr>
          <w:b/>
        </w:rPr>
        <w:t xml:space="preserve">Source: </w:t>
      </w:r>
      <w:r>
        <w:t>new — written for this pack in the original pack’s voice</w:t>
      </w:r>
    </w:p>
    <w:p>
      <w:pPr>
        <w:pStyle w:val="Heading2"/>
      </w:pPr>
      <w:r>
        <w:t>LinkedIn / Facebook — select this block and copy</w:t>
      </w:r>
    </w:p>
    <w:p>
      <w:pPr>
        <w:spacing w:after="200"/>
        <w:ind w:left="173" w:right="173"/>
        <w:shd w:val="clear" w:fill="F2F4F5"/>
      </w:pPr>
      <w:r>
        <w:t>A dashboard tells you your AI visibility is 42%.</w:t>
      </w:r>
    </w:p>
    <w:p>
      <w:pPr>
        <w:spacing w:after="200"/>
        <w:ind w:left="173" w:right="173"/>
        <w:shd w:val="clear" w:fill="F2F4F5"/>
      </w:pPr>
      <w:r>
        <w:t>42% of what?</w:t>
      </w:r>
    </w:p>
    <w:p>
      <w:pPr>
        <w:spacing w:after="200"/>
        <w:ind w:left="173" w:right="173"/>
        <w:shd w:val="clear" w:fill="F2F4F5"/>
      </w:pPr>
      <w:r>
        <w:t>Which prompts. Which engines. Which dates. How many runs per question. Which answer carried the citation — and what did the model actually say around it. If you cannot get to those, the number is not a measurement. It is a mood with a percent sign.</w:t>
      </w:r>
    </w:p>
    <w:p>
      <w:pPr>
        <w:spacing w:after="200"/>
        <w:ind w:left="173" w:right="173"/>
        <w:shd w:val="clear" w:fill="F2F4F5"/>
      </w:pPr>
      <w:r>
        <w:t>That is requirement five of the seven in the buyer's standard we published, and it is the one I would keep if I could only keep one. Metrics that drive spending should be traceable to the answer behind them.</w:t>
      </w:r>
    </w:p>
    <w:p>
      <w:pPr>
        <w:spacing w:after="200"/>
        <w:ind w:left="173" w:right="173"/>
        <w:shd w:val="clear" w:fill="F2F4F5"/>
      </w:pPr>
      <w:r>
        <w:t>Here is what holding ourselves to it costs us. On unbranded category questions, in our own September 2026 measurement, engines recommended us in 0 of 200 recorded answers. Zero. We publish that monthly whatever it says, because a standard you apply only when the result flatters you is not a standard.</w:t>
      </w:r>
    </w:p>
    <w:p>
      <w:pPr>
        <w:spacing w:after="200"/>
        <w:ind w:left="173" w:right="173"/>
        <w:shd w:val="clear" w:fill="F2F4F5"/>
      </w:pPr>
      <w:r>
        <w:t>You do not need our product to use this. Take the question into your next vendor call and ask it: 42% of what? Then count how many minutes it takes to reach a transcript.</w:t>
      </w:r>
    </w:p>
    <w:p>
      <w:pPr>
        <w:spacing w:after="200"/>
        <w:ind w:left="173" w:right="173"/>
        <w:shd w:val="clear" w:fill="F2F4F5"/>
      </w:pPr>
      <w:r>
        <w:t>Tell me how that call goes — I collect the answers.</w:t>
      </w:r>
    </w:p>
    <w:p>
      <w:pPr>
        <w:spacing w:after="200"/>
        <w:ind w:left="173" w:right="173"/>
        <w:shd w:val="clear" w:fill="F2F4F5"/>
      </w:pPr>
      <w:r>
        <w:t>https://aeoanalyzers.com/aeo-buyers-standard</w:t>
      </w:r>
    </w:p>
    <w:p>
      <w:pPr>
        <w:spacing w:after="320"/>
        <w:ind w:left="173" w:right="173"/>
        <w:shd w:val="clear" w:fill="F2F4F5"/>
      </w:pPr>
      <w:r>
        <w:t>#AEO #AISearch #Procurement #MarTech #B2BMarketing</w:t>
      </w:r>
    </w:p>
    <w:p>
      <w:r>
        <w:br w:type="page"/>
      </w:r>
    </w:p>
    <w:p>
      <w:pPr>
        <w:pStyle w:val="Heading1"/>
      </w:pPr>
      <w:r>
        <w:t>X posts — all seven</w:t>
      </w:r>
    </w:p>
    <w:p>
      <w:r>
        <w:t>From the ORIGINAL disti pack, not Packs 2 or 3, and listed in the order you are posting. Numbers 1 to 4 are here so you can backfill X for the four already on LinkedIn. Every one is inside 280 characters counting each URL as the 23 characters X charges for it, however long the link really is. Character counts are shown so you can see the headroom before you edit.</w:t>
      </w:r>
    </w:p>
    <w:p>
      <w:r>
        <w:t>Post to LinkedIn first, then X about thirty minutes later. The LinkedIn post is canonical; the X post is a pointer to it.</w:t>
      </w:r>
    </w:p>
    <w:p>
      <w:r>
        <w:t>ON YOUR X PREMIUM ACCOUNT you are not held to 280, so you have a choice. These short versions travel further — they can be quoted and reposted whole, and they read as a pointer rather than a duplicate of the LinkedIn post. If you would rather use the detail, paste the LinkedIn block from this document instead and cut the hashtag line down to two; five tags read as reach-farming on X in a way they do not on LinkedIn. Do not post the long and short version of the same piece.</w:t>
      </w:r>
    </w:p>
    <w:p>
      <w:pPr>
        <w:pStyle w:val="Heading2"/>
      </w:pPr>
      <w:r>
        <w:t>1 · Why AI still doesn't mention your business  —  263/280</w:t>
      </w:r>
    </w:p>
    <w:p>
      <w:r>
        <w:rPr>
          <w:i/>
        </w:rPr>
        <w:t>LinkedIn already published — this is the X backfill.</w:t>
      </w:r>
    </w:p>
    <w:p>
      <w:pPr>
        <w:spacing w:after="160"/>
        <w:ind w:left="173" w:right="173"/>
        <w:shd w:val="clear" w:fill="F2F4F5"/>
      </w:pPr>
      <w:r>
        <w:t>You did what the AEO guides said. Nothing changed.</w:t>
      </w:r>
    </w:p>
    <w:p>
      <w:pPr>
        <w:spacing w:after="160"/>
        <w:ind w:left="173" w:right="173"/>
        <w:shd w:val="clear" w:fill="F2F4F5"/>
      </w:pPr>
      <w:r>
        <w:t>llms.txt unrequested on 97% of sites that have one. 6 of 7 platforms can't read your schema. An AI sees ~200 characters after your h1.</w:t>
      </w:r>
    </w:p>
    <w:p>
      <w:pPr>
        <w:spacing w:after="160"/>
        <w:ind w:left="173" w:right="173"/>
        <w:shd w:val="clear" w:fill="F2F4F5"/>
      </w:pPr>
      <w:r>
        <w:t>The free self-checks, and two of our own failures:</w:t>
      </w:r>
    </w:p>
    <w:p>
      <w:pPr>
        <w:spacing w:after="280"/>
        <w:ind w:left="173" w:right="173"/>
        <w:shd w:val="clear" w:fill="F2F4F5"/>
      </w:pPr>
      <w:r>
        <w:t>https://aeoanalyzers.com/blog/why-ai-doesnt-mention-you</w:t>
      </w:r>
    </w:p>
    <w:p>
      <w:pPr>
        <w:pStyle w:val="Heading2"/>
      </w:pPr>
      <w:r>
        <w:t>2 · What should an AEO tool actually do?  —  193/280</w:t>
      </w:r>
    </w:p>
    <w:p>
      <w:r>
        <w:rPr>
          <w:i/>
        </w:rPr>
        <w:t>LinkedIn already published — this is the X backfill.</w:t>
      </w:r>
    </w:p>
    <w:p>
      <w:pPr>
        <w:spacing w:after="160"/>
        <w:ind w:left="173" w:right="173"/>
        <w:shd w:val="clear" w:fill="F2F4F5"/>
      </w:pPr>
      <w:r>
        <w:t>"AI visibility" is six different outcomes with almost nothing in common.</w:t>
      </w:r>
    </w:p>
    <w:p>
      <w:pPr>
        <w:spacing w:after="160"/>
        <w:ind w:left="173" w:right="173"/>
        <w:shd w:val="clear" w:fill="F2F4F5"/>
      </w:pPr>
      <w:r>
        <w:t>A mention is not a citation. A citation is not a recommendation. Measurement is not diagnosis.</w:t>
      </w:r>
    </w:p>
    <w:p>
      <w:pPr>
        <w:spacing w:after="280"/>
        <w:ind w:left="173" w:right="173"/>
        <w:shd w:val="clear" w:fill="F2F4F5"/>
      </w:pPr>
      <w:r>
        <w:t>https://aeoanalyzers.com/what-should-an-aeo-tool-do</w:t>
      </w:r>
    </w:p>
    <w:p>
      <w:pPr>
        <w:pStyle w:val="Heading2"/>
      </w:pPr>
      <w:r>
        <w:t>3 · The AEO Buyer's Standard  —  267/280</w:t>
      </w:r>
    </w:p>
    <w:p>
      <w:r>
        <w:rPr>
          <w:i/>
        </w:rPr>
        <w:t>LinkedIn already published — this is the X backfill.</w:t>
      </w:r>
    </w:p>
    <w:p>
      <w:pPr>
        <w:spacing w:after="160"/>
        <w:ind w:left="173" w:right="173"/>
        <w:shd w:val="clear" w:fill="F2F4F5"/>
      </w:pPr>
      <w:r>
        <w:t>We published the standard we think buyers should use to judge AEO software — and scored ourselves against it, including where we come off worst.</w:t>
      </w:r>
    </w:p>
    <w:p>
      <w:pPr>
        <w:spacing w:after="160"/>
        <w:ind w:left="173" w:right="173"/>
        <w:shd w:val="clear" w:fill="F2F4F5"/>
      </w:pPr>
      <w:r>
        <w:t>7 requirements. 13 questions. Names no vendor, ranks nothing.</w:t>
      </w:r>
    </w:p>
    <w:p>
      <w:pPr>
        <w:spacing w:after="160"/>
        <w:ind w:left="173" w:right="173"/>
        <w:shd w:val="clear" w:fill="F2F4F5"/>
      </w:pPr>
      <w:r>
        <w:t>AEO metrics should have receipts.</w:t>
      </w:r>
    </w:p>
    <w:p>
      <w:pPr>
        <w:spacing w:after="280"/>
        <w:ind w:left="173" w:right="173"/>
        <w:shd w:val="clear" w:fill="F2F4F5"/>
      </w:pPr>
      <w:r>
        <w:t>https://aeoanalyzers.com/aeo-buyers-standard</w:t>
      </w:r>
    </w:p>
    <w:p>
      <w:pPr>
        <w:pStyle w:val="Heading2"/>
      </w:pPr>
      <w:r>
        <w:t>4 · Best AEO tools in 2026  —  234/280</w:t>
      </w:r>
    </w:p>
    <w:p>
      <w:r>
        <w:rPr>
          <w:i/>
        </w:rPr>
        <w:t>LinkedIn already published — this is the X backfill.</w:t>
      </w:r>
    </w:p>
    <w:p>
      <w:pPr>
        <w:spacing w:after="160"/>
        <w:ind w:left="173" w:right="173"/>
        <w:shd w:val="clear" w:fill="F2F4F5"/>
      </w:pPr>
      <w:r>
        <w:t>We wrote the comparison of our own category and named no winner.</w:t>
      </w:r>
    </w:p>
    <w:p>
      <w:pPr>
        <w:spacing w:after="160"/>
        <w:ind w:left="173" w:right="173"/>
        <w:shd w:val="clear" w:fill="F2F4F5"/>
      </w:pPr>
      <w:r>
        <w:t>8 tools, 7 purchasing requirements, every competitor fact dated and linked to that vendor's own page.</w:t>
      </w:r>
    </w:p>
    <w:p>
      <w:pPr>
        <w:spacing w:after="160"/>
        <w:ind w:left="173" w:right="173"/>
        <w:shd w:val="clear" w:fill="F2F4F5"/>
      </w:pPr>
      <w:r>
        <w:t>Including where we're the weaker choice.</w:t>
      </w:r>
    </w:p>
    <w:p>
      <w:pPr>
        <w:spacing w:after="280"/>
        <w:ind w:left="173" w:right="173"/>
        <w:shd w:val="clear" w:fill="F2F4F5"/>
      </w:pPr>
      <w:r>
        <w:t>https://aeoanalyzers.com/best-aeo-tools</w:t>
      </w:r>
    </w:p>
    <w:p>
      <w:pPr>
        <w:pStyle w:val="Heading2"/>
      </w:pPr>
      <w:r>
        <w:t>5 · The AEO Buyer's Guide — three short reads  —  212/280</w:t>
      </w:r>
    </w:p>
    <w:p>
      <w:pPr>
        <w:spacing w:after="160"/>
        <w:ind w:left="173" w:right="173"/>
        <w:shd w:val="clear" w:fill="F2F4F5"/>
      </w:pPr>
      <w:r>
        <w:t>How to buy AEO software, in six minutes.</w:t>
      </w:r>
    </w:p>
    <w:p>
      <w:pPr>
        <w:spacing w:after="160"/>
        <w:ind w:left="173" w:right="173"/>
        <w:shd w:val="clear" w:fill="F2F4F5"/>
      </w:pPr>
      <w:r>
        <w:t>Three two-minute reads: what a tool should do, what to require before you buy, how to compare the market. Each links to the full guide behind it.</w:t>
      </w:r>
    </w:p>
    <w:p>
      <w:pPr>
        <w:spacing w:after="280"/>
        <w:ind w:left="173" w:right="173"/>
        <w:shd w:val="clear" w:fill="F2F4F5"/>
      </w:pPr>
      <w:r>
        <w:t>https://aeoanalyzers.com/aeo-buyers-guide</w:t>
      </w:r>
    </w:p>
    <w:p>
      <w:pPr>
        <w:pStyle w:val="Heading2"/>
      </w:pPr>
      <w:r>
        <w:t>6 · How AEO Analyzers works  —  279/280</w:t>
      </w:r>
    </w:p>
    <w:p>
      <w:pPr>
        <w:spacing w:after="160"/>
        <w:ind w:left="173" w:right="173"/>
        <w:shd w:val="clear" w:fill="F2F4F5"/>
      </w:pPr>
      <w:r>
        <w:t>The whole pipeline, drawn. Six diagrams, no algorithms.</w:t>
      </w:r>
    </w:p>
    <w:p>
      <w:pPr>
        <w:spacing w:after="160"/>
        <w:ind w:left="173" w:right="173"/>
        <w:shd w:val="clear" w:fill="F2F4F5"/>
      </w:pPr>
      <w:r>
        <w:t>Four engines, buyers' questions, one or more runs each. Search-grounded answers kept separate from memory. Three layers scored separately, every number backed by a stored transcript you can re-run.</w:t>
      </w:r>
    </w:p>
    <w:p>
      <w:pPr>
        <w:spacing w:after="280"/>
        <w:ind w:left="173" w:right="173"/>
        <w:shd w:val="clear" w:fill="F2F4F5"/>
      </w:pPr>
      <w:r>
        <w:t>https://aeoanalyzers.com/blog/how-it-works</w:t>
      </w:r>
    </w:p>
    <w:p>
      <w:pPr>
        <w:pStyle w:val="Heading2"/>
      </w:pPr>
      <w:r>
        <w:t>7 · 42% of what? — the receipts post  —  240/280</w:t>
      </w:r>
    </w:p>
    <w:p>
      <w:pPr>
        <w:spacing w:after="160"/>
        <w:ind w:left="173" w:right="173"/>
        <w:shd w:val="clear" w:fill="F2F4F5"/>
      </w:pPr>
      <w:r>
        <w:t>A dashboard says your AI visibility is 42%.</w:t>
      </w:r>
    </w:p>
    <w:p>
      <w:pPr>
        <w:spacing w:after="160"/>
        <w:ind w:left="173" w:right="173"/>
        <w:shd w:val="clear" w:fill="F2F4F5"/>
      </w:pPr>
      <w:r>
        <w:t>42% of what? Which prompts, which engines, which dates, how many runs, and what did the model actually say?</w:t>
      </w:r>
    </w:p>
    <w:p>
      <w:pPr>
        <w:spacing w:after="160"/>
        <w:ind w:left="173" w:right="173"/>
        <w:shd w:val="clear" w:fill="F2F4F5"/>
      </w:pPr>
      <w:r>
        <w:t>A number you cannot reproduce is a number you cannot dispute.</w:t>
      </w:r>
    </w:p>
    <w:p>
      <w:pPr>
        <w:spacing w:after="280"/>
        <w:ind w:left="173" w:right="173"/>
        <w:shd w:val="clear" w:fill="F2F4F5"/>
      </w:pPr>
      <w:r>
        <w:t>https://aeoanalyzers.com/aeo-buyers-standard</w:t>
      </w:r>
    </w:p>
    <w:p>
      <w:r>
        <w:br w:type="page"/>
      </w:r>
    </w:p>
    <w:p>
      <w:pPr>
        <w:pStyle w:val="Heading1"/>
      </w:pPr>
      <w:r>
        <w:t>Bluesky posts — all seven</w:t>
      </w:r>
    </w:p>
    <w:p>
      <w:r>
        <w:t>Bluesky caps a post at 300 characters and, unlike X, it does not shorten links — the entire URL counts against you. On the longest of these that is 54 characters, 18% of the post, before a single word is written. So these are rewritten rather than trimmed: one idea, one link, no hashtags. Counts below are the real ones, URL included.</w:t>
      </w:r>
    </w:p>
    <w:p>
      <w:r>
        <w:t>Order and rhythm are the same as everywhere else — LinkedIn first, then X, then Bluesky. Bluesky has the smallest audience of the three and the highest proportion of people who will actually read the linked page, so it is worth the extra post.</w:t>
      </w:r>
    </w:p>
    <w:p>
      <w:pPr>
        <w:pStyle w:val="Heading2"/>
      </w:pPr>
      <w:r>
        <w:t>1 · Why AI still doesn't mention your business  —  268/300</w:t>
      </w:r>
    </w:p>
    <w:p>
      <w:r>
        <w:rPr>
          <w:i/>
        </w:rPr>
        <w:t>LinkedIn already published — this is the Bluesky backfill.</w:t>
      </w:r>
    </w:p>
    <w:p>
      <w:pPr>
        <w:spacing w:after="160"/>
        <w:ind w:left="173" w:right="173"/>
        <w:shd w:val="clear" w:fill="F2F4F5"/>
      </w:pPr>
      <w:r>
        <w:t>You did what the AEO guides said and nothing changed.</w:t>
      </w:r>
    </w:p>
    <w:p>
      <w:pPr>
        <w:spacing w:after="160"/>
        <w:ind w:left="173" w:right="173"/>
        <w:shd w:val="clear" w:fill="F2F4F5"/>
      </w:pPr>
      <w:r>
        <w:t>llms.txt goes unrequested on 97% of sites that have one. An AI sees roughly the first 200 characters after your h1.</w:t>
      </w:r>
    </w:p>
    <w:p>
      <w:pPr>
        <w:spacing w:after="160"/>
        <w:ind w:left="173" w:right="173"/>
        <w:shd w:val="clear" w:fill="F2F4F5"/>
      </w:pPr>
      <w:r>
        <w:t>The free self-checks, no tool required:</w:t>
      </w:r>
    </w:p>
    <w:p>
      <w:pPr>
        <w:spacing w:after="280"/>
        <w:ind w:left="173" w:right="173"/>
        <w:shd w:val="clear" w:fill="F2F4F5"/>
      </w:pPr>
      <w:r>
        <w:t>https://aeoanalyzers.com/blog/why-ai-doesnt-mention-you</w:t>
      </w:r>
    </w:p>
    <w:p>
      <w:pPr>
        <w:pStyle w:val="Heading2"/>
      </w:pPr>
      <w:r>
        <w:t>2 · What should an AEO tool actually do?  —  221/300</w:t>
      </w:r>
    </w:p>
    <w:p>
      <w:r>
        <w:rPr>
          <w:i/>
        </w:rPr>
        <w:t>LinkedIn already published — this is the Bluesky backfill.</w:t>
      </w:r>
    </w:p>
    <w:p>
      <w:pPr>
        <w:spacing w:after="160"/>
        <w:ind w:left="173" w:right="173"/>
        <w:shd w:val="clear" w:fill="F2F4F5"/>
      </w:pPr>
      <w:r>
        <w:t>"AI visibility" is six different outcomes with almost nothing in common.</w:t>
      </w:r>
    </w:p>
    <w:p>
      <w:pPr>
        <w:spacing w:after="160"/>
        <w:ind w:left="173" w:right="173"/>
        <w:shd w:val="clear" w:fill="F2F4F5"/>
      </w:pPr>
      <w:r>
        <w:t>A mention is not a citation. A citation is not a recommendation. Measurement is not diagnosis.</w:t>
      </w:r>
    </w:p>
    <w:p>
      <w:pPr>
        <w:spacing w:after="280"/>
        <w:ind w:left="173" w:right="173"/>
        <w:shd w:val="clear" w:fill="F2F4F5"/>
      </w:pPr>
      <w:r>
        <w:t>https://aeoanalyzers.com/what-should-an-aeo-tool-do</w:t>
      </w:r>
    </w:p>
    <w:p>
      <w:pPr>
        <w:pStyle w:val="Heading2"/>
      </w:pPr>
      <w:r>
        <w:t>3 · The AEO Buyer's Standard  —  239/300</w:t>
      </w:r>
    </w:p>
    <w:p>
      <w:r>
        <w:rPr>
          <w:i/>
        </w:rPr>
        <w:t>LinkedIn already published — this is the Bluesky backfill.</w:t>
      </w:r>
    </w:p>
    <w:p>
      <w:pPr>
        <w:spacing w:after="160"/>
        <w:ind w:left="173" w:right="173"/>
        <w:shd w:val="clear" w:fill="F2F4F5"/>
      </w:pPr>
      <w:r>
        <w:t>We published the standard we think buyers should use to judge AEO software, then scored ourselves against it — including where we come off worst.</w:t>
      </w:r>
    </w:p>
    <w:p>
      <w:pPr>
        <w:spacing w:after="160"/>
        <w:ind w:left="173" w:right="173"/>
        <w:shd w:val="clear" w:fill="F2F4F5"/>
      </w:pPr>
      <w:r>
        <w:t>7 requirements. 13 questions. Names no vendor.</w:t>
      </w:r>
    </w:p>
    <w:p>
      <w:pPr>
        <w:spacing w:after="280"/>
        <w:ind w:left="173" w:right="173"/>
        <w:shd w:val="clear" w:fill="F2F4F5"/>
      </w:pPr>
      <w:r>
        <w:t>https://aeoanalyzers.com/aeo-buyers-standard</w:t>
      </w:r>
    </w:p>
    <w:p>
      <w:pPr>
        <w:pStyle w:val="Heading2"/>
      </w:pPr>
      <w:r>
        <w:t>4 · Best AEO tools in 2026  —  240/300</w:t>
      </w:r>
    </w:p>
    <w:p>
      <w:r>
        <w:rPr>
          <w:i/>
        </w:rPr>
        <w:t>LinkedIn already published — this is the Bluesky backfill.</w:t>
      </w:r>
    </w:p>
    <w:p>
      <w:pPr>
        <w:spacing w:after="160"/>
        <w:ind w:left="173" w:right="173"/>
        <w:shd w:val="clear" w:fill="F2F4F5"/>
      </w:pPr>
      <w:r>
        <w:t>We wrote the comparison of our own category and named no winner.</w:t>
      </w:r>
    </w:p>
    <w:p>
      <w:pPr>
        <w:spacing w:after="160"/>
        <w:ind w:left="173" w:right="173"/>
        <w:shd w:val="clear" w:fill="F2F4F5"/>
      </w:pPr>
      <w:r>
        <w:t>8 tools, 7 requirements, every competitor fact dated and linked to that vendor's own page — including where we are the weaker choice.</w:t>
      </w:r>
    </w:p>
    <w:p>
      <w:pPr>
        <w:spacing w:after="280"/>
        <w:ind w:left="173" w:right="173"/>
        <w:shd w:val="clear" w:fill="F2F4F5"/>
      </w:pPr>
      <w:r>
        <w:t>https://aeoanalyzers.com/best-aeo-tools</w:t>
      </w:r>
    </w:p>
    <w:p>
      <w:pPr>
        <w:pStyle w:val="Heading2"/>
      </w:pPr>
      <w:r>
        <w:t>5 · The AEO Buyer's Guide — three short reads  —  244/300</w:t>
      </w:r>
    </w:p>
    <w:p>
      <w:pPr>
        <w:spacing w:after="160"/>
        <w:ind w:left="173" w:right="173"/>
        <w:shd w:val="clear" w:fill="F2F4F5"/>
      </w:pPr>
      <w:r>
        <w:t>How to buy AEO software, in six minutes.</w:t>
      </w:r>
    </w:p>
    <w:p>
      <w:pPr>
        <w:spacing w:after="160"/>
        <w:ind w:left="173" w:right="173"/>
        <w:shd w:val="clear" w:fill="F2F4F5"/>
      </w:pPr>
      <w:r>
        <w:t>Three two-minute reads: what a tool should do, what to require before you buy, how to compare the market.</w:t>
      </w:r>
    </w:p>
    <w:p>
      <w:pPr>
        <w:spacing w:after="160"/>
        <w:ind w:left="173" w:right="173"/>
        <w:shd w:val="clear" w:fill="F2F4F5"/>
      </w:pPr>
      <w:r>
        <w:t>Monitoring is not diagnosis. Diagnosis is not proof.</w:t>
      </w:r>
    </w:p>
    <w:p>
      <w:pPr>
        <w:spacing w:after="280"/>
        <w:ind w:left="173" w:right="173"/>
        <w:shd w:val="clear" w:fill="F2F4F5"/>
      </w:pPr>
      <w:r>
        <w:t>https://aeoanalyzers.com/aeo-buyers-guide</w:t>
      </w:r>
    </w:p>
    <w:p>
      <w:pPr>
        <w:pStyle w:val="Heading2"/>
      </w:pPr>
      <w:r>
        <w:t>6 · How AEO Analyzers works  —  252/300</w:t>
      </w:r>
    </w:p>
    <w:p>
      <w:pPr>
        <w:spacing w:after="160"/>
        <w:ind w:left="173" w:right="173"/>
        <w:shd w:val="clear" w:fill="F2F4F5"/>
      </w:pPr>
      <w:r>
        <w:t>The whole pipeline, drawn. Six diagrams, no algorithms.</w:t>
      </w:r>
    </w:p>
    <w:p>
      <w:pPr>
        <w:spacing w:after="160"/>
        <w:ind w:left="173" w:right="173"/>
        <w:shd w:val="clear" w:fill="F2F4F5"/>
      </w:pPr>
      <w:r>
        <w:t>Four engines, your buyers' questions, one or more runs each. Three layers scored separately. Every number backed by a stored transcript you can re-run.</w:t>
      </w:r>
    </w:p>
    <w:p>
      <w:pPr>
        <w:spacing w:after="280"/>
        <w:ind w:left="173" w:right="173"/>
        <w:shd w:val="clear" w:fill="F2F4F5"/>
      </w:pPr>
      <w:r>
        <w:t>https://aeoanalyzers.com/blog/how-it-works</w:t>
      </w:r>
    </w:p>
    <w:p>
      <w:pPr>
        <w:pStyle w:val="Heading2"/>
      </w:pPr>
      <w:r>
        <w:t>7 · 42% of what? — the receipts post  —  261/300</w:t>
      </w:r>
    </w:p>
    <w:p>
      <w:pPr>
        <w:spacing w:after="160"/>
        <w:ind w:left="173" w:right="173"/>
        <w:shd w:val="clear" w:fill="F2F4F5"/>
      </w:pPr>
      <w:r>
        <w:t>A dashboard says your AI visibility is 42%.</w:t>
      </w:r>
    </w:p>
    <w:p>
      <w:pPr>
        <w:spacing w:after="160"/>
        <w:ind w:left="173" w:right="173"/>
        <w:shd w:val="clear" w:fill="F2F4F5"/>
      </w:pPr>
      <w:r>
        <w:t>42% of what? Which prompts, which engines, which dates, how many runs, and what did the model actually say?</w:t>
      </w:r>
    </w:p>
    <w:p>
      <w:pPr>
        <w:spacing w:after="160"/>
        <w:ind w:left="173" w:right="173"/>
        <w:shd w:val="clear" w:fill="F2F4F5"/>
      </w:pPr>
      <w:r>
        <w:t>A number you cannot reproduce is a number you cannot dispute.</w:t>
      </w:r>
    </w:p>
    <w:p>
      <w:pPr>
        <w:spacing w:after="280"/>
        <w:ind w:left="173" w:right="173"/>
        <w:shd w:val="clear" w:fill="F2F4F5"/>
      </w:pPr>
      <w:r>
        <w:t>https://aeoanalyzers.com/aeo-buyers-standard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