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BUYER GUIDE / LONG-FORM — image prompts</w:t>
      </w:r>
    </w:p>
    <w:p>
      <w:r>
        <w:t>Replaces the appendix in AEO_Analyzers_Buyers_Standard_LONG_Form_Series.docx. Six images: hero 1600x900 and OG card 1200x630 for each of the three long-form pieces.</w:t>
      </w:r>
    </w:p>
    <w:p>
      <w:r>
        <w:t>EVERY PROMPT BELOW IS COMPLETE AND STANDALONE. Copy one block, paste it, generate. Nothing needs to be assembled from other sections.</w:t>
      </w:r>
    </w:p>
    <w:p>
      <w:r>
        <w:t>What changed: the original appendix specified ink-teal with bright teal and cream, plus simple flat icons. Colours were sampled from the shipped asset aeoanalyzers-og-brand.png: background #000603, signal #68E66D bright GREEN not teal, type #FFFFFF, and no pictographic icons. Two further changes of substance: the cream SERIF headline is dropped because the brand headline face is a heavy geometric grotesque; and the vendor list that ran along the bottom of the Long 3 OG card is removed, because naming seven competitors inside a published image — undated, unsourced and uncorrectable — is a claim we cannot maintain, and a screenshotted card outlives the page it came from.</w:t>
      </w:r>
    </w:p>
    <w:p>
      <w:r>
        <w:br w:type="page"/>
      </w:r>
    </w:p>
    <w:p>
      <w:pPr>
        <w:pStyle w:val="Heading1"/>
      </w:pPr>
      <w:r>
        <w:t>Long 1 — Hero · 1600 × 900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1600 × 900 landscape</w:t>
        <w:br/>
        <w:br/>
        <w:t>A single AI answer enters from the left as a dimensional card carrying four lines of small</w:t>
        <w:br/>
        <w:t>dim transcript text, then passes through four sequential workstations labelled in UPPERCASE</w:t>
        <w:br/>
        <w:t>letterspaced white: MONITOR, DIAGNOSE, REMEDIATE, VERIFY — followed by a smaller ledger</w:t>
        <w:br/>
        <w:t>panel labelled RECEIPTS.</w:t>
        <w:br/>
        <w:br/>
        <w:t>THE ANSWER CARD VISIBLY CHANGES STATE at each station: first raw text; then one line</w:t>
        <w:br/>
        <w:t>highlighted clay #F2705C as the problem found; then a repair artifact shown as a small</w:t>
        <w:br/>
        <w:t>green-edged code-like block; then the same answer repeated with a green #68E66D check mark</w:t>
        <w:br/>
        <w:t>and a numeric value beside it.</w:t>
        <w:br/>
        <w:br/>
        <w:t>Each station is a dimensional card with a soft shadow and a 1px edge, joined by a thin</w:t>
        <w:br/>
        <w:t>green connector. The RECEIPTS ledger shows three stacked rows of dim transcript text with</w:t>
        <w:br/>
        <w:t>small white timestamps.</w:t>
        <w:br/>
        <w:br/>
        <w:t>Eyebrow top-left: AEO ANALYZERS · BUYER SERIES</w:t>
        <w:br/>
        <w:t>Headline: AEO software explained</w:t>
        <w:br/>
        <w:t>Sub-line in green: Monitoring is not diagnosis. Diagnosis is not proof.</w:t>
      </w:r>
    </w:p>
    <w:p>
      <w:r>
        <w:br w:type="page"/>
      </w:r>
    </w:p>
    <w:p>
      <w:pPr>
        <w:pStyle w:val="Heading1"/>
      </w:pPr>
      <w:r>
        <w:t>Long 1 — OG card · 1200 × 630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1200 × 630 landscape</w:t>
        <w:br/>
        <w:br/>
        <w:t>Left two-thirds: a very large white headline reading: Monitoring is not diagnosis.</w:t>
        <w:br/>
        <w:t>Second line in green reading: Diagnosis is not proof.</w:t>
        <w:br/>
        <w:br/>
        <w:t>Lower right: four connected dimensional boxes labelled in UPPERCASE white — OBSERVE,</w:t>
        <w:br/>
        <w:t>DIAGNOSE, FIX, VERIFY — the first two filled green #68E66D, the third part-filled amber</w:t>
        <w:br/>
        <w:t>#E8B23C, the fourth outlined neutral #9DB2B7, each with a small white numeric value. Two</w:t>
        <w:br/>
        <w:t>lines of dim transcript text behind them.</w:t>
        <w:br/>
        <w:br/>
        <w:t>Must be readable as a feed thumbnail at quarter size.</w:t>
      </w:r>
    </w:p>
    <w:p>
      <w:r>
        <w:br w:type="page"/>
      </w:r>
    </w:p>
    <w:p>
      <w:pPr>
        <w:pStyle w:val="Heading1"/>
      </w:pPr>
      <w:r>
        <w:t>Long 2 — Hero · 1600 × 900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1600 × 900 landscape</w:t>
        <w:br/>
        <w:br/>
        <w:t>Seven evenly spaced gateway panels form an evaluation path across the frame. Each is a</w:t>
        <w:br/>
        <w:t>dimensional card with a soft shadow and a 1px green edge, partially filled green #68E66D to</w:t>
        <w:br/>
        <w:t>different heights. Labels exactly, UPPERCASE letterspaced white beneath each: OBSERVE,</w:t>
        <w:br/>
        <w:t>DIAGNOSE, REMEDIATE, VERIFY, RECEIPTS, SCALE, ECONOMICS.</w:t>
        <w:br/>
        <w:br/>
        <w:t>THE FIRST FIVE sit under a thin bracket labelled FUNCTIONAL REQUIREMENTS; THE LAST TWO</w:t>
        <w:br/>
        <w:t>under a bracket labelled PROCUREMENT REQUIREMENTS. Two groups, one path. A single thin</w:t>
        <w:br/>
        <w:t>green line passes through all seven at the same level.</w:t>
        <w:br/>
        <w:br/>
        <w:t>Behind them, faint neutral #9DB2B7 grid lines receding. In front, one card floating</w:t>
        <w:br/>
        <w:t>slightly proud showing an outlined bar, a white percentage and a line of dim transcript</w:t>
        <w:br/>
        <w:t>text — a requirement with its receipt attached.</w:t>
        <w:br/>
        <w:br/>
        <w:t>Eyebrow top-left: AEO ANALYZERS · PURCHASING STANDARD</w:t>
        <w:br/>
        <w:t>Title, top left, heavy white grotesque: The AEO Buyer's Standard</w:t>
        <w:br/>
        <w:br/>
        <w:t>No vendor logos. No ranking symbols.</w:t>
      </w:r>
    </w:p>
    <w:p>
      <w:r>
        <w:br w:type="page"/>
      </w:r>
    </w:p>
    <w:p>
      <w:pPr>
        <w:pStyle w:val="Heading1"/>
      </w:pPr>
      <w:r>
        <w:t>Long 2 — OG card · 1200 × 630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1200 × 630 landscape</w:t>
        <w:br/>
        <w:br/>
        <w:t>A huge white headline reading: The AEO Buyer's Standard</w:t>
        <w:br/>
        <w:t>Beneath it a green sub-line reading: 7 requirements serious buyers should use before</w:t>
        <w:br/>
        <w:t>purchasing AEO software.</w:t>
        <w:br/>
        <w:br/>
        <w:t>Along the bottom, seven small gates with abbreviated UPPERCASE white labels, outlined in</w:t>
        <w:br/>
        <w:t>neutral #9DB2B7 and UNFILLED — a standard is not a scorecard. Give them depth with soft</w:t>
        <w:br/>
        <w:t>shadows and a fine grid behind.</w:t>
        <w:br/>
        <w:br/>
        <w:t>Set in the lower right, a small pull-quote in green reading: AEO metrics should have</w:t>
        <w:br/>
        <w:t>receipts.</w:t>
        <w:br/>
        <w:br/>
        <w:t>Must be extremely readable as a feed thumbnail at quarter size.</w:t>
      </w:r>
    </w:p>
    <w:p>
      <w:r>
        <w:br w:type="page"/>
      </w:r>
    </w:p>
    <w:p>
      <w:pPr>
        <w:pStyle w:val="Heading1"/>
      </w:pPr>
      <w:r>
        <w:t>Long 3 — Hero · 1600 × 900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1600 × 900 landscape</w:t>
        <w:br/>
        <w:br/>
        <w:t>Eight identical unlabelled software cards outlined in neutral #9DB2B7, arranged loosely and</w:t>
        <w:br/>
        <w:t>DELIBERATELY EQUAL — no ordering, no highlight, nothing raised among them.</w:t>
        <w:br/>
        <w:br/>
        <w:t>They flow toward a central seven-part framework band labelled in UPPERCASE letterspaced</w:t>
        <w:br/>
        <w:t>white: THE AEO BUYER'S STANDARD. Only this band has presence — a dimensional card with a</w:t>
        <w:br/>
        <w:t>soft shadow, a 1px green edge and a fine internal grid.</w:t>
        <w:br/>
        <w:br/>
        <w:t>From it, six thin green lines branch to six UPPERCASE white destinations:</w:t>
        <w:br/>
        <w:t>ENTERPRISE INTELLIGENCE · FOCUSED ANALYTICS · BROAD MONITORING · AGENT EXPERIENCE ·</w:t>
        <w:br/>
        <w:t>SEO + GEO · DIAGNOSE, FIX, PROVE</w:t>
        <w:br/>
        <w:br/>
        <w:t>Eyebrow top-left: AEO ANALYZERS · CATEGORY REFERENCE</w:t>
        <w:br/>
        <w:t>Headline: Best AEO tools &amp; software in 2026</w:t>
        <w:br/>
        <w:t>Sub-line in green: Compare the operating model before you compare the feature count.</w:t>
        <w:br/>
        <w:br/>
        <w:t>NO winner mark, stars, podium, medals or vendor logos.</w:t>
      </w:r>
    </w:p>
    <w:p>
      <w:r>
        <w:br w:type="page"/>
      </w:r>
    </w:p>
    <w:p>
      <w:pPr>
        <w:pStyle w:val="Heading1"/>
      </w:pPr>
      <w:r>
        <w:t>Long 3 — OG card · 1200 × 630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1200 × 630 landscape</w:t>
        <w:br/>
        <w:br/>
        <w:t>A large white headline on the left reading: Best AEO tools &amp; software in 2026</w:t>
        <w:br/>
        <w:t>Beneath it a green sub-line reading: What to compare before you buy.</w:t>
        <w:br/>
        <w:br/>
        <w:t>Right side: the seven Buyer's Standard labels as a simple checklist of short bars outlined</w:t>
        <w:br/>
        <w:t>in neutral #9DB2B7, ALL UNFILLED AND EQUAL.</w:t>
        <w:br/>
        <w:br/>
        <w:t>NO VENDOR NAMES ANYWHERE IN THE ARTWORK. No logos, no rankings, no stars, no winner badges.</w:t>
        <w:br/>
        <w:t>Must be readable as a feed thumbnail at quarter size.</w:t>
      </w:r>
    </w:p>
    <w:p>
      <w:r>
        <w:br w:type="page"/>
      </w:r>
    </w:p>
    <w:p>
      <w:pPr>
        <w:pStyle w:val="Heading1"/>
      </w:pPr>
      <w:r>
        <w:t>Production notes</w:t>
      </w:r>
    </w:p>
    <w:p>
      <w:r>
        <w:t>Proof every rendered word. Generators mangle text. If a headline comes back with a typo, keep the illustration and set the type yourself — do not re-roll and hope.</w:t>
      </w:r>
    </w:p>
    <w:p>
      <w:r>
        <w:t>Export opaque RGB with no alpha channel. A PNG carrying transparency renders black-on-black in some feeds. Inspect the channel; do not judge by eye.</w:t>
      </w:r>
    </w:p>
    <w:p>
      <w:r>
        <w:t>Never upscale. Generate at or above final size and downscale only. JPEG quality 95 at 4:4:4 chroma, or PNG-24 for flat vector work.</w:t>
      </w:r>
    </w:p>
    <w:p>
      <w:r>
        <w:t>Check every OG card at quarter size before publishing. If the sub-line is unreadable as a feed thumbnail, the card has failed however good it looks at full size.</w:t>
      </w:r>
    </w:p>
    <w:p>
      <w:r>
        <w:t>Do not tint any colour toward the background to soften it. Measured contrast on #000603: white 20.4:1, green #68E66D 12.8:1, amber #E8B23C 10.6:1, clay #F2705C 7.1:1, neutral #9DB2B7 9.2:1. Every one clears WCAG AAA and each is at its value for a reason.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