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— the BLITZ swim lane</w:t>
      </w:r>
    </w:p>
    <w:p>
      <w:pPr>
        <w:pStyle w:val="Heading1"/>
      </w:pPr>
      <w:r>
        <w:t>WORK ORDER — the BLITZ swim lane</w:t>
      </w:r>
    </w:p>
    <w:p>
      <w:r>
        <w:t>For: the Claude Code session that owns /mnt/c/src/pigenai-autopost</w:t>
      </w:r>
    </w:p>
    <w:p>
      <w:r>
        <w:t>Raised: 2026-09-21 · Origin: founder, after the six-post AEO blitz</w:t>
      </w:r>
    </w:p>
    <w:p>
      <w:r>
        <w:t>Status: ready to build. Nothing here blocks on aeo-app1.</w:t>
      </w:r>
    </w:p>
    <w:p>
      <w:pPr>
        <w:pStyle w:val="Heading1"/>
      </w:pPr>
      <w:r>
        <w:t>Objective</w:t>
      </w:r>
    </w:p>
    <w:p>
      <w:r>
        <w:t>Stand up a fourth, reusable swim lane — the BLITZ lane — for campaign initiatives</w:t>
      </w:r>
    </w:p>
    <w:p>
      <w:r>
        <w:t>that need a sustained voice rather than a single post: claiming a category, publishing a</w:t>
      </w:r>
    </w:p>
    <w:p>
      <w:r>
        <w:t>standard, defending a position.</w:t>
      </w:r>
    </w:p>
    <w:p>
      <w:r>
        <w:t>This is a lane, not a campaign. The existing three lanes carry the portfolio on a</w:t>
      </w:r>
    </w:p>
    <w:p>
      <w:r>
        <w:t>steady drumbeat, and they are the wrong instrument for a push like this — a campaign</w:t>
      </w:r>
    </w:p>
    <w:p>
      <w:r>
        <w:t>needs consecutive weekday mornings and repeated passes over the same small set of URLs,</w:t>
      </w:r>
    </w:p>
    <w:p>
      <w:r>
        <w:t>which a 15-day portfolio grid cannot give without starving everything else.</w:t>
      </w:r>
    </w:p>
    <w:p>
      <w:r>
        <w:t>The BLITZ lane runs one campaign at a time, empties, and waits for the next one.</w:t>
      </w:r>
    </w:p>
    <w:p>
      <w:r>
        <w:t>Campaign 001 is the AEO buyer series, defined below. When it finishes, the lane stays</w:t>
      </w:r>
    </w:p>
    <w:p>
      <w:r>
        <w:t>and the next initiative loads into it.</w:t>
      </w:r>
    </w:p>
    <w:p>
      <w:pPr>
        <w:pStyle w:val="Heading2"/>
      </w:pPr>
      <w:r>
        <w:t>What qualifies as a blitz campaign</w:t>
      </w:r>
    </w:p>
    <w:p>
      <w:pPr>
        <w:pStyle w:val="ListBullet"/>
      </w:pPr>
      <w:r>
        <w:t>A defined body of published work, usually four to eight URLs, already live.</w:t>
      </w:r>
    </w:p>
    <w:p>
      <w:pPr>
        <w:pStyle w:val="ListBullet"/>
      </w:pPr>
      <w:r>
        <w:t>An objective beyond impressions — own a phrase, set a purchasing standard, establish a</w:t>
      </w:r>
    </w:p>
    <w:p>
      <w:r>
        <w:t xml:space="preserve">  position before a competitor does.</w:t>
      </w:r>
    </w:p>
    <w:p>
      <w:pPr>
        <w:pStyle w:val="ListBullet"/>
      </w:pPr>
      <w:r>
        <w:t>A finite run. A campaign that never ends is a lane that is never free.</w:t>
      </w:r>
    </w:p>
    <w:p>
      <w:r>
        <w:t>If it does not meet all three, it belongs in the normal grid.</w:t>
      </w:r>
    </w:p>
    <w:p>
      <w:pPr>
        <w:pStyle w:val="Heading1"/>
      </w:pPr>
      <w:r>
        <w:t>The slot</w:t>
      </w:r>
    </w:p>
    <w:p>
      <w:r>
        <w:t>Weekdays only, Monday to Friday. One post per lane-day.</w:t>
      </w:r>
    </w:p>
    <w:p>
      <w:r>
        <w:t>Preferred time, in order — take the first that is free in cadence_v3.json:</w:t>
      </w:r>
    </w:p>
    <w:p>
      <w:pPr>
        <w:pStyle w:val="ListNumber"/>
      </w:pPr>
      <w:r>
        <w:t>08:30 CT (13:30 UTC)</w:t>
      </w:r>
    </w:p>
    <w:p>
      <w:pPr>
        <w:pStyle w:val="ListNumber"/>
      </w:pPr>
      <w:r>
        <w:t>08:45 CT (13:45 UTC)</w:t>
      </w:r>
    </w:p>
    <w:p>
      <w:pPr>
        <w:pStyle w:val="ListNumber"/>
      </w:pPr>
      <w:r>
        <w:t>09:00 CT (14:00 UTC)</w:t>
      </w:r>
    </w:p>
    <w:p>
      <w:pPr>
        <w:pStyle w:val="ListNumber"/>
      </w:pPr>
      <w:r>
        <w:t>09:30 CT (14:30 UTC)</w:t>
      </w:r>
    </w:p>
    <w:p>
      <w:r>
        <w:t>Existing Slot A is 08:00 CT, so 08:30 should be clear — verify rather than assume, and</w:t>
      </w:r>
    </w:p>
    <w:p>
      <w:r>
        <w:t>record in the commit which time was taken and why.</w:t>
      </w:r>
    </w:p>
    <w:p>
      <w:r>
        <w:t>This is a fourth lane, not a reassignment. Do not consume the six unassigned slack</w:t>
      </w:r>
    </w:p>
    <w:p>
      <w:r>
        <w:t>slots reserved for waves and yields, and do not move anything in the existing grid.</w:t>
      </w:r>
    </w:p>
    <w:p>
      <w:r>
        <w:t>The lane is idle by default. With no campaign loaded it posts nothing — it does not</w:t>
      </w:r>
    </w:p>
    <w:p>
      <w:r>
        <w:t>fall through to generated content, and it does not borrow from another lane's bank.</w:t>
      </w:r>
    </w:p>
    <w:p>
      <w:pPr>
        <w:pStyle w:val="Heading1"/>
      </w:pPr>
      <w:r>
        <w:t>Campaign 001 — the AEO buyer series</w:t>
      </w:r>
    </w:p>
    <w:p>
      <w:r>
        <w:t>Six posts, cycled in this order. It is the blitz order and it is deliberate — the</w:t>
      </w:r>
    </w:p>
    <w:p>
      <w:r>
        <w:t>standard leads because it is the most linkable asset, and the product mechanics come last</w:t>
      </w:r>
    </w:p>
    <w:p>
      <w:r>
        <w:t>because that post is the only one about 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#</w:t>
            </w:r>
          </w:p>
        </w:tc>
        <w:tc>
          <w:tcPr>
            <w:tcW w:type="dxa" w:w="3312"/>
          </w:tcPr>
          <w:p>
            <w:r>
              <w:t>URL</w:t>
            </w:r>
          </w:p>
        </w:tc>
        <w:tc>
          <w:tcPr>
            <w:tcW w:type="dxa" w:w="3312"/>
          </w:tcPr>
          <w:p>
            <w:r>
              <w:t>Image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https://aeoanalyzers.com/aeo-buyers-standard</w:t>
            </w:r>
          </w:p>
        </w:tc>
        <w:tc>
          <w:tcPr>
            <w:tcW w:type="dxa" w:w="3312"/>
          </w:tcPr>
          <w:p>
            <w:r>
              <w:t>aeo-buyers-standard-hero-1600x900.jpg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https://aeoanalyzers.com/blog/why-ai-doesnt-mention-you</w:t>
            </w:r>
          </w:p>
        </w:tc>
        <w:tc>
          <w:tcPr>
            <w:tcW w:type="dxa" w:w="3312"/>
          </w:tcPr>
          <w:p>
            <w:r>
              <w:t>primer-og-1200x630.jpg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https://aeoanalyzers.com/what-should-an-aeo-tool-do</w:t>
            </w:r>
          </w:p>
        </w:tc>
        <w:tc>
          <w:tcPr>
            <w:tcW w:type="dxa" w:w="3312"/>
          </w:tcPr>
          <w:p>
            <w:r>
              <w:t>what-should-an-aeo-tool-do-hero-1600x900.jpg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https://aeoanalyzers.com/best-aeo-tools</w:t>
            </w:r>
          </w:p>
        </w:tc>
        <w:tc>
          <w:tcPr>
            <w:tcW w:type="dxa" w:w="3312"/>
          </w:tcPr>
          <w:p>
            <w:r>
              <w:t>best-aeo-tools-hero-1600x900.jpg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https://aeoanalyzers.com/aeo-buyers-guide</w:t>
            </w:r>
          </w:p>
        </w:tc>
        <w:tc>
          <w:tcPr>
            <w:tcW w:type="dxa" w:w="3312"/>
          </w:tcPr>
          <w:p>
            <w:r>
              <w:t>aeo-buyers-guide-hero-1600x900.jpg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https://aeoanalyzers.com/blog/how-it-works</w:t>
            </w:r>
          </w:p>
        </w:tc>
        <w:tc>
          <w:tcPr>
            <w:tcW w:type="dxa" w:w="3312"/>
          </w:tcPr>
          <w:p>
            <w:r>
              <w:t>og-blog-how-it-works.png</w:t>
            </w:r>
          </w:p>
        </w:tc>
      </w:tr>
    </w:tbl>
    <w:p>
      <w:r>
        <w:t>Heroes live at aeoanalyzers.com/img/buyer-series/ and the two older posts use their</w:t>
      </w:r>
    </w:p>
    <w:p>
      <w:r>
        <w:t>existing OG assets. Pull them by URL rather than copying into gbp-assets/ so a</w:t>
      </w:r>
    </w:p>
    <w:p>
      <w:r>
        <w:t>corrected image propagates without a second commit — two of these are already queued for</w:t>
      </w:r>
    </w:p>
    <w:p>
      <w:r>
        <w:t>replacement.</w:t>
      </w:r>
    </w:p>
    <w:p>
      <w:r>
        <w:t>Four to six passes = 24 to 36 lane-days ≈ 5 to 7 weeks of weekdays. Start at six</w:t>
      </w:r>
    </w:p>
    <w:p>
      <w:r>
        <w:t>passes; cut to four if engagement decays measurably rather than on a feeling.</w:t>
      </w:r>
    </w:p>
    <w:p>
      <w:pPr>
        <w:pStyle w:val="Heading1"/>
      </w:pPr>
      <w:r>
        <w:t>Angle rotation — the part that decides whether this works</w:t>
      </w:r>
    </w:p>
    <w:p>
      <w:r>
        <w:t>Do not repost the same copy six times. The blitz copy is pass one. Each later pass</w:t>
      </w:r>
    </w:p>
    <w:p>
      <w:r>
        <w:t>needs a different angle on the same URL, which is the ×6 effective-frequency rule already</w:t>
      </w:r>
    </w:p>
    <w:p>
      <w:r>
        <w:t>standing in this system.</w:t>
      </w:r>
    </w:p>
    <w:p>
      <w:r>
        <w:t>Six angles per post, one per pass. For the Buyer's Standard, for example: the standard</w:t>
      </w:r>
    </w:p>
    <w:p>
      <w:r>
        <w:t>itself → the receipts line → the thirteen questions → where we score worst → the</w:t>
      </w:r>
    </w:p>
    <w:p>
      <w:r>
        <w:t>procurement-meeting use → apply it to us.</w:t>
      </w:r>
    </w:p>
    <w:p>
      <w:r>
        <w:t>Seed copy for pass one is in</w:t>
      </w:r>
    </w:p>
    <w:p>
      <w:r>
        <w:t>aeo-app1/docs/launch/BLITZ-DISTI-PACK-aeo-buyer-series.md. Passes two to six are yours</w:t>
      </w:r>
    </w:p>
    <w:p>
      <w:r>
        <w:t>to generate, subject to the linter and the standing bans below.</w:t>
      </w:r>
    </w:p>
    <w:p>
      <w:pPr>
        <w:pStyle w:val="Heading1"/>
      </w:pPr>
      <w:r>
        <w:t>Standing rules that apply</w:t>
      </w:r>
    </w:p>
    <w:p>
      <w:r>
        <w:t>These are not new; they are the ones this content trips most often.</w:t>
      </w:r>
    </w:p>
    <w:p>
      <w:pPr>
        <w:pStyle w:val="ListBullet"/>
      </w:pPr>
      <w:r>
        <w:t>The link goes in the body. Never "link in the comments".</w:t>
      </w:r>
    </w:p>
    <w:p>
      <w:pPr>
        <w:pStyle w:val="ListBullet"/>
      </w:pPr>
      <w:r>
        <w:t>No cost or expense figure, ever, on any customer-facing surface.</w:t>
      </w:r>
    </w:p>
    <w:p>
      <w:pPr>
        <w:pStyle w:val="ListBullet"/>
      </w:pPr>
      <w:r>
        <w:t>No invented numbers. Only figures reproducible from a stored transcript or a</w:t>
      </w:r>
    </w:p>
    <w:p>
      <w:r>
        <w:t xml:space="preserve">  published study. Not even as a labelled example.</w:t>
      </w:r>
    </w:p>
    <w:p>
      <w:pPr>
        <w:pStyle w:val="ListBullet"/>
      </w:pPr>
      <w:r>
        <w:t>Never "other tools only give you a score" or "no other AEO tool measures whether AI</w:t>
      </w:r>
    </w:p>
    <w:p>
      <w:r>
        <w:t xml:space="preserve">  is telling the truth about you". Both retired, both indefensible.</w:t>
      </w:r>
    </w:p>
    <w:p>
      <w:pPr>
        <w:pStyle w:val="ListBullet"/>
      </w:pPr>
      <w:r>
        <w:t>Do not name any individual in connection with the entity-misattribution finding.</w:t>
      </w:r>
    </w:p>
    <w:p>
      <w:pPr>
        <w:pStyle w:val="ListBullet"/>
      </w:pPr>
      <w:r>
        <w:t>Do not publish any prospect's measured numbers. Those are outreach material, not</w:t>
      </w:r>
    </w:p>
    <w:p>
      <w:r>
        <w:t xml:space="preserve">  marketing material.</w:t>
      </w:r>
    </w:p>
    <w:p>
      <w:pPr>
        <w:pStyle w:val="ListBullet"/>
      </w:pPr>
      <w:r>
        <w:t>Respect the existing floor: no app twice in a day, ≥3-day minimum gap including cycle</w:t>
      </w:r>
    </w:p>
    <w:p>
      <w:r>
        <w:t xml:space="preserve">  wrap, skipped slots never backfilled.</w:t>
      </w:r>
    </w:p>
    <w:p>
      <w:pPr>
        <w:pStyle w:val="Heading1"/>
      </w:pPr>
      <w:r>
        <w:t>Acceptance</w:t>
      </w:r>
    </w:p>
    <w:p>
      <w:pPr>
        <w:pStyle w:val="ListNumber"/>
      </w:pPr>
      <w:r>
        <w:t>cadence_v3.json carries the new lane with the time actually taken recorded in</w:t>
      </w:r>
    </w:p>
    <w:p>
      <w:r>
        <w:t xml:space="preserve">   _doc, and the existing 15-day grid is unchanged.</w:t>
      </w:r>
    </w:p>
    <w:p>
      <w:pPr>
        <w:pStyle w:val="ListNumber"/>
      </w:pPr>
      <w:r>
        <w:t>test_swimlanes.py extended: the new lane fires weekdays only, never collides with</w:t>
      </w:r>
    </w:p>
    <w:p>
      <w:r>
        <w:t xml:space="preserve">   Slot A/B/C, and never consumes a slack slot.</w:t>
      </w:r>
    </w:p>
    <w:p>
      <w:pPr>
        <w:pStyle w:val="ListNumber"/>
      </w:pPr>
      <w:r>
        <w:t>A rotation-state file tracks which post and which pass is next, surviving restart.</w:t>
      </w:r>
    </w:p>
    <w:p>
      <w:pPr>
        <w:pStyle w:val="ListNumber"/>
      </w:pPr>
      <w:r>
        <w:t>A dry run prints the full 24–36 day schedule with post, pass number and angle for</w:t>
      </w:r>
    </w:p>
    <w:p>
      <w:r>
        <w:t xml:space="preserve">   each, and a human can read it end to end before anything posts.</w:t>
      </w:r>
    </w:p>
    <w:p>
      <w:pPr>
        <w:pStyle w:val="ListNumber"/>
      </w:pPr>
      <w:r>
        <w:t>The linter passes on every generated variant — especially the banned-claims check.</w:t>
      </w:r>
    </w:p>
    <w:p>
      <w:pPr>
        <w:pStyle w:val="ListNumber"/>
      </w:pPr>
      <w:r>
        <w:t>First live post only after the founder has read the dry-run schedule.</w:t>
      </w:r>
    </w:p>
    <w:p>
      <w:pPr>
        <w:pStyle w:val="Heading1"/>
      </w:pPr>
      <w:r>
        <w:t>Loading the next campaign</w:t>
      </w:r>
    </w:p>
    <w:p>
      <w:r>
        <w:t>When 001 finishes the lane must be reloadable without code changes. A campaign is a small</w:t>
      </w:r>
    </w:p>
    <w:p>
      <w:r>
        <w:t>config object: a list of URLs with their images, a pass count, and an angle list per URL.</w:t>
      </w:r>
    </w:p>
    <w:p>
      <w:r>
        <w:t>Adding campaign 002 should be a data change and a founder go-word, nothing more.</w:t>
      </w:r>
    </w:p>
    <w:p>
      <w:r>
        <w:t>Log each completed campaign with its dates, pass count and the URLs it carried, so a</w:t>
      </w:r>
    </w:p>
    <w:p>
      <w:r>
        <w:t>later sweep can ask whether the blitz moved anything.</w:t>
      </w:r>
    </w:p>
    <w:p>
      <w:pPr>
        <w:pStyle w:val="Heading1"/>
      </w:pPr>
      <w:r>
        <w:t>Explicitly out of scope</w:t>
      </w:r>
    </w:p>
    <w:p>
      <w:r>
        <w:t>Do not touch the three existing lanes, the Tier 1/2/3 grid, the Context Floor rotation, the LP queue or the</w:t>
      </w:r>
    </w:p>
    <w:p>
      <w:r>
        <w:t>checkride107 findings bank. This is an additive lane and nothing else moves.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