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AEO Analyzers — Executive Report</w:t>
      </w:r>
    </w:p>
    <w:p>
      <w:r>
        <w:rPr>
          <w:i/>
          <w:sz w:val="20"/>
        </w:rPr>
        <w:t>21 September 2026  ·  25 commits  ·  439 tests green  ·  4 new pages published  ·  1 campaign packed</w:t>
      </w:r>
    </w:p>
    <w:p>
      <w:r>
        <w:t>Session output: 25 commits, 439 tests green, 16 URLs in the sitemap, four new</w:t>
      </w:r>
    </w:p>
    <w:p>
      <w:r>
        <w:t>published pages, one distribution campaign packed and ready to hand over.</w:t>
      </w:r>
    </w:p>
    <w:p>
      <w:pPr>
        <w:pStyle w:val="Heading1"/>
      </w:pPr>
      <w:r>
        <w:t>1 · What changed today, in order of consequence</w:t>
      </w:r>
    </w:p>
    <w:p>
      <w:pPr>
        <w:pStyle w:val="Heading2"/>
      </w:pPr>
      <w:r>
        <w:t>The tier wall had three holes and all three are closed</w:t>
      </w:r>
    </w:p>
    <w:p>
      <w:r>
        <w:t>QA found paid content reaching free accounts by three separate routes. Each was found by</w:t>
      </w:r>
    </w:p>
    <w:p>
      <w:r>
        <w:t>looking at a different artifact, and the third was invisible to the first two checks.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rPr>
                <w:b/>
              </w:rPr>
              <w:t>Leak</w:t>
            </w:r>
          </w:p>
        </w:tc>
        <w:tc>
          <w:tcPr>
            <w:tcW w:type="dxa" w:w="3264"/>
          </w:tcPr>
          <w:p>
            <w:r>
              <w:rPr>
                <w:b/>
              </w:rPr>
              <w:t>Found by</w:t>
            </w:r>
          </w:p>
        </w:tc>
        <w:tc>
          <w:tcPr>
            <w:tcW w:type="dxa" w:w="3264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3264"/>
          </w:tcPr>
          <w:p>
            <w:r>
              <w:t>Advanced-card fixes in the llm-generate response</w:t>
            </w:r>
          </w:p>
        </w:tc>
        <w:tc>
          <w:tcPr>
            <w:tcW w:type="dxa" w:w="3264"/>
          </w:tcPr>
          <w:p>
            <w:r>
              <w:t>reading the response body</w:t>
            </w:r>
          </w:p>
        </w:tc>
        <w:tc>
          <w:tcPr>
            <w:tcW w:type="dxa" w:w="3264"/>
          </w:tcPr>
          <w:p>
            <w:r>
              <w:t>closed</w:t>
            </w:r>
          </w:p>
        </w:tc>
      </w:tr>
      <w:tr>
        <w:tc>
          <w:tcPr>
            <w:tcW w:type="dxa" w:w="3264"/>
          </w:tcPr>
          <w:p>
            <w:r>
              <w:t>full_result shipped for 20 past runs on the History tab</w:t>
            </w:r>
          </w:p>
        </w:tc>
        <w:tc>
          <w:tcPr>
            <w:tcW w:type="dxa" w:w="3264"/>
          </w:tcPr>
          <w:p>
            <w:r>
              <w:t>reading the list query</w:t>
            </w:r>
          </w:p>
        </w:tc>
        <w:tc>
          <w:tcPr>
            <w:tcW w:type="dxa" w:w="3264"/>
          </w:tcPr>
          <w:p>
            <w:r>
              <w:t>closed</w:t>
            </w:r>
          </w:p>
        </w:tc>
      </w:tr>
      <w:tr>
        <w:tc>
          <w:tcPr>
            <w:tcW w:type="dxa" w:w="3264"/>
          </w:tcPr>
          <w:p>
            <w:r>
              <w:t>The browser rebuilding paste-ready JSON-LD after the server stripped it</w:t>
            </w:r>
          </w:p>
        </w:tc>
        <w:tc>
          <w:tcPr>
            <w:tcW w:type="dxa" w:w="3264"/>
          </w:tcPr>
          <w:p>
            <w:r>
              <w:t>reading the stored database row</w:t>
            </w:r>
          </w:p>
        </w:tc>
        <w:tc>
          <w:tcPr>
            <w:tcW w:type="dxa" w:w="3264"/>
          </w:tcPr>
          <w:p>
            <w:r>
              <w:t>closed</w:t>
            </w:r>
          </w:p>
        </w:tc>
      </w:tr>
    </w:tbl>
    <w:p/>
    <w:p>
      <w:r>
        <w:t>That third one is the one worth remembering. Every gate we reasoned about guarded</w:t>
      </w:r>
    </w:p>
    <w:p>
      <w:r>
        <w:t>something the *server* sends. The leak was in something the *client* makes for itself,</w:t>
      </w:r>
    </w:p>
    <w:p>
      <w:r>
        <w:t>seconds later, and no server-side control could ever have reached it. It was found</w:t>
      </w:r>
    </w:p>
    <w:p>
      <w:r>
        <w:t>because the QA step looked at stored state rather than at a response.</w:t>
      </w:r>
    </w:p>
    <w:p>
      <w:r>
        <w:t>19 historical rows carrying fix content for non-entitled users were scrubbed, verified</w:t>
      </w:r>
    </w:p>
    <w:p>
      <w:r>
        <w:t>to zero by searching for the content rather than for a null.</w:t>
      </w:r>
    </w:p>
    <w:p>
      <w:pPr>
        <w:pStyle w:val="Heading2"/>
      </w:pPr>
      <w:r>
        <w:t>Four new pages, published and indexed</w:t>
      </w:r>
    </w:p>
    <w:p>
      <w:r>
        <w:t>A three-part buyer series plus a short-read entry point. Written so the standard comes</w:t>
      </w:r>
    </w:p>
    <w:p>
      <w:r>
        <w:t>before the comparison — publishing the comparison first and then inventing criteria that</w:t>
      </w:r>
    </w:p>
    <w:p>
      <w:r>
        <w:t>happen to favour us would not survive scrutiny.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rPr>
                <w:b/>
              </w:rPr>
              <w:t>Page</w:t>
            </w:r>
          </w:p>
        </w:tc>
        <w:tc>
          <w:tcPr>
            <w:tcW w:type="dxa" w:w="3264"/>
          </w:tcPr>
          <w:p>
            <w:r>
              <w:rPr>
                <w:b/>
              </w:rPr>
              <w:t>Words</w:t>
            </w:r>
          </w:p>
        </w:tc>
        <w:tc>
          <w:tcPr>
            <w:tcW w:type="dxa" w:w="3264"/>
          </w:tcPr>
          <w:p>
            <w:r>
              <w:rPr>
                <w:b/>
              </w:rPr>
              <w:t>Role</w:t>
            </w:r>
          </w:p>
        </w:tc>
      </w:tr>
      <w:tr>
        <w:tc>
          <w:tcPr>
            <w:tcW w:type="dxa" w:w="3264"/>
          </w:tcPr>
          <w:p>
            <w:r>
              <w:t>/aeo-buyers-standard</w:t>
            </w:r>
          </w:p>
        </w:tc>
        <w:tc>
          <w:tcPr>
            <w:tcW w:type="dxa" w:w="3264"/>
          </w:tcPr>
          <w:p>
            <w:r>
              <w:t>1,890</w:t>
            </w:r>
          </w:p>
        </w:tc>
        <w:tc>
          <w:tcPr>
            <w:tcW w:type="dxa" w:w="3264"/>
          </w:tcPr>
          <w:p>
            <w:r>
              <w:t>Seven requirements, thirteen questions. Names no vendor, ranks nothing, scores us against all seven including where we come off worst.</w:t>
            </w:r>
          </w:p>
        </w:tc>
      </w:tr>
      <w:tr>
        <w:tc>
          <w:tcPr>
            <w:tcW w:type="dxa" w:w="3264"/>
          </w:tcPr>
          <w:p>
            <w:r>
              <w:t>/best-aeo-tools</w:t>
            </w:r>
          </w:p>
        </w:tc>
        <w:tc>
          <w:tcPr>
            <w:tcW w:type="dxa" w:w="3264"/>
          </w:tcPr>
          <w:p>
            <w:r>
              <w:t>3,806</w:t>
            </w:r>
          </w:p>
        </w:tc>
        <w:tc>
          <w:tcPr>
            <w:tcW w:type="dxa" w:w="3264"/>
          </w:tcPr>
          <w:p>
            <w:r>
              <w:t>Eight tools compared against that standard. Every competitor fact dated and linked to that vendor's own page. No winner named.</w:t>
            </w:r>
          </w:p>
        </w:tc>
      </w:tr>
      <w:tr>
        <w:tc>
          <w:tcPr>
            <w:tcW w:type="dxa" w:w="3264"/>
          </w:tcPr>
          <w:p>
            <w:r>
              <w:t>/what-should-an-aeo-tool-do</w:t>
            </w:r>
          </w:p>
        </w:tc>
        <w:tc>
          <w:tcPr>
            <w:tcW w:type="dxa" w:w="3264"/>
          </w:tcPr>
          <w:p>
            <w:r>
              <w:t>1,316</w:t>
            </w:r>
          </w:p>
        </w:tc>
        <w:tc>
          <w:tcPr>
            <w:tcW w:type="dxa" w:w="3264"/>
          </w:tcPr>
          <w:p>
            <w:r>
              <w:t>The vocabulary the rest of the series uses.</w:t>
            </w:r>
          </w:p>
        </w:tc>
      </w:tr>
      <w:tr>
        <w:tc>
          <w:tcPr>
            <w:tcW w:type="dxa" w:w="3264"/>
          </w:tcPr>
          <w:p>
            <w:r>
              <w:t>/aeo-buyers-guide</w:t>
            </w:r>
          </w:p>
        </w:tc>
        <w:tc>
          <w:tcPr>
            <w:tcW w:type="dxa" w:w="3264"/>
          </w:tcPr>
          <w:p>
            <w:r>
              <w:t>928</w:t>
            </w:r>
          </w:p>
        </w:tc>
        <w:tc>
          <w:tcPr>
            <w:tcW w:type="dxa" w:w="3264"/>
          </w:tcPr>
          <w:p>
            <w:r>
              <w:t>Three two-minute reads routing into all three.</w:t>
            </w:r>
          </w:p>
        </w:tc>
      </w:tr>
    </w:tbl>
    <w:p/>
    <w:p>
      <w:r>
        <w:t>All four carry real OG cards, in-body heroes with alt text, Article + FAQPage schema</w:t>
      </w:r>
    </w:p>
    <w:p>
      <w:r>
        <w:t>generated from the page text and proven verbatim, and cross-links to one another.</w:t>
      </w:r>
    </w:p>
    <w:p>
      <w:pPr>
        <w:pStyle w:val="Heading2"/>
      </w:pPr>
      <w:r>
        <w:t>Indexing fixed on both engines</w:t>
      </w:r>
    </w:p>
    <w:p>
      <w:r>
        <w:t>Google was reading a sitemap last touched in June that declared 6 URLs; it now reads 16.</w:t>
      </w:r>
    </w:p>
    <w:p>
      <w:r>
        <w:t>A malformed second sitemap entry was erroring since June and is gone. Bing was reading a</w:t>
      </w:r>
    </w:p>
    <w:p>
      <w:r>
        <w:t>stale www sitemap with 6 URLs; removed. All buyer-series URLs submitted to both.</w:t>
      </w:r>
    </w:p>
    <w:p>
      <w:pPr>
        <w:pStyle w:val="Heading2"/>
      </w:pPr>
      <w:r>
        <w:t>Dogfooding found two faults in our own new pages</w:t>
      </w:r>
    </w:p>
    <w:p>
      <w:r>
        <w:t>Before asking engines to cite them, we ran our own checks over them.</w:t>
      </w:r>
    </w:p>
    <w:p>
      <w:pPr>
        <w:pStyle w:val="ListBullet"/>
      </w:pPr>
      <w:r>
        <w:t>/best-aeo-tools was spending its extractor window on competitors. The first ~200</w:t>
      </w:r>
    </w:p>
    <w:p>
      <w:r>
        <w:t xml:space="preserve">  characters after the h1 is the only body text an instant-mode answer reads, and ours</w:t>
      </w:r>
    </w:p>
    <w:p>
      <w:r>
        <w:t xml:space="preserve">  opened by naming seven rivals. Rewritten.</w:t>
      </w:r>
    </w:p>
    <w:p>
      <w:pPr>
        <w:pStyle w:val="ListBullet"/>
      </w:pPr>
      <w:r>
        <w:t>Three of four pages had zero entity-anchored sentences. Not one began "AEO</w:t>
      </w:r>
    </w:p>
    <w:p>
      <w:r>
        <w:t xml:space="preserve">  Analyzers" — exactly what our own Passage Extractability check tells customers to fix.</w:t>
      </w:r>
    </w:p>
    <w:p>
      <w:r>
        <w:t>Both found by running the product's own logic over our own artifacts rather than assuming</w:t>
      </w:r>
    </w:p>
    <w:p>
      <w:r>
        <w:t>the people who wrote the checks would comply with them. They did not.</w:t>
      </w:r>
    </w:p>
    <w:p>
      <w:pPr>
        <w:pStyle w:val="Heading1"/>
      </w:pPr>
      <w:r>
        <w:t>2 · The measurement of record</w:t>
      </w:r>
    </w:p>
    <w:p>
      <w:r>
        <w:t>From the 21 September sweep: 4 questions × 4 engines × 3 runs, 48 stored transcripts.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b/>
              </w:rPr>
              <w:t>Branded retrievability</w:t>
            </w:r>
          </w:p>
        </w:tc>
        <w:tc>
          <w:tcPr>
            <w:tcW w:type="dxa" w:w="4896"/>
          </w:tcPr>
          <w:p>
            <w:r>
              <w:rPr>
                <w:b/>
              </w:rPr>
              <w:t>100%, N=23, all four engines</w:t>
            </w:r>
          </w:p>
        </w:tc>
      </w:tr>
      <w:tr>
        <w:tc>
          <w:tcPr>
            <w:tcW w:type="dxa" w:w="4896"/>
          </w:tcPr>
          <w:p>
            <w:r>
              <w:t>Category citation win</w:t>
            </w:r>
          </w:p>
        </w:tc>
        <w:tc>
          <w:tcPr>
            <w:tcW w:type="dxa" w:w="4896"/>
          </w:tcPr>
          <w:p>
            <w:r>
              <w:t>0%, N=21</w:t>
            </w:r>
          </w:p>
        </w:tc>
      </w:tr>
      <w:tr>
        <w:tc>
          <w:tcPr>
            <w:tcW w:type="dxa" w:w="4896"/>
          </w:tcPr>
          <w:p>
            <w:r>
              <w:t>Owned citation rate</w:t>
            </w:r>
          </w:p>
        </w:tc>
        <w:tc>
          <w:tcPr>
            <w:tcW w:type="dxa" w:w="4896"/>
          </w:tcPr>
          <w:p>
            <w:r>
              <w:t>65%, N=23</w:t>
            </w:r>
          </w:p>
        </w:tc>
      </w:tr>
      <w:tr>
        <w:tc>
          <w:tcPr>
            <w:tcW w:type="dxa" w:w="4896"/>
          </w:tcPr>
          <w:p>
            <w:r>
              <w:t>Fidelity</w:t>
            </w:r>
          </w:p>
        </w:tc>
        <w:tc>
          <w:tcPr>
            <w:tcW w:type="dxa" w:w="4896"/>
          </w:tcPr>
          <w:p>
            <w:r>
              <w:t>22 of 23 accurate; 1 drifted</w:t>
            </w:r>
          </w:p>
        </w:tc>
      </w:tr>
    </w:tbl>
    <w:p/>
    <w:p>
      <w:r>
        <w:t>The finding that matters is not the zero. Reading what the engines *cited* rather than</w:t>
      </w:r>
    </w:p>
    <w:p>
      <w:r>
        <w:t>whether they cited us: every category answer, on every engine, was assembled from "best</w:t>
      </w:r>
    </w:p>
    <w:p>
      <w:r>
        <w:t>tools" roundup pages. Not one came from a vendor's own product page. And a large share of</w:t>
      </w:r>
    </w:p>
    <w:p>
      <w:r>
        <w:t>those roundups were written by vendors in this category, who published the comparison</w:t>
      </w:r>
    </w:p>
    <w:p>
      <w:r>
        <w:t>and became the authority for it.</w:t>
      </w:r>
    </w:p>
    <w:p>
      <w:r>
        <w:t>That is why /best-aeo-tools exists, and it is a testable claim: if the mechanism is</w:t>
      </w:r>
    </w:p>
    <w:p>
      <w:r>
        <w:t>real, the October sweep should move.</w:t>
      </w:r>
    </w:p>
    <w:p>
      <w:r>
        <w:t>Corroborated independently: Bing AI Performance reports 0 citations over three months,</w:t>
      </w:r>
    </w:p>
    <w:p>
      <w:r>
        <w:t>and Google's Generative AI report shows 20 impressions, homepage only.</w:t>
      </w:r>
    </w:p>
    <w:p>
      <w:pPr>
        <w:pStyle w:val="Heading1"/>
      </w:pPr>
      <w:r>
        <w:t>3 · Asset inventory</w:t>
      </w:r>
    </w:p>
    <w:p>
      <w:r>
        <w:t>Published — 16 URLs in the sitemap, of which 10 are content: four buyer-series pages,</w:t>
      </w:r>
    </w:p>
    <w:p>
      <w:r>
        <w:t>six blog posts.</w:t>
      </w:r>
    </w:p>
    <w:p>
      <w:r>
        <w:t>Images — 14 files in autopost-packs/aeo-blitz-001/images/, one set per story,</w:t>
      </w:r>
    </w:p>
    <w:p>
      <w:r>
        <w:t>exact-size, opaque RGB, measured AAA contrast. Eight wired live.</w:t>
      </w:r>
    </w:p>
    <w:p>
      <w:r>
        <w:t>Distribution</w:t>
      </w:r>
    </w:p>
    <w:p>
      <w:pPr>
        <w:pStyle w:val="ListBullet"/>
      </w:pPr>
      <w:r>
        <w:t>AUTOPOSTER-HANDOFF-aeo-blitz-001.zip — work order, disti pack, campaign.json, images</w:t>
      </w:r>
    </w:p>
    <w:p>
      <w:pPr>
        <w:pStyle w:val="ListBullet"/>
      </w:pPr>
      <w:r>
        <w:t>campaign.json — 6 stories × 6 passes = 36 scheduled posts, each with hook, points and image</w:t>
      </w:r>
    </w:p>
    <w:p>
      <w:pPr>
        <w:pStyle w:val="ListBullet"/>
      </w:pPr>
      <w:r>
        <w:t>Pass-one copy written in full for LinkedIn and X, all six stories</w:t>
      </w:r>
    </w:p>
    <w:p>
      <w:r>
        <w:t>Documentation</w:t>
      </w:r>
    </w:p>
    <w:p>
      <w:pPr>
        <w:pStyle w:val="ListBullet"/>
      </w:pPr>
      <w:r>
        <w:t>docs/brand/ — image prompts, both sets, .md and .docx, twelve standalone prompts</w:t>
      </w:r>
    </w:p>
    <w:p>
      <w:pPr>
        <w:pStyle w:val="ListBullet"/>
      </w:pPr>
      <w:r>
        <w:t>docs/baselines/aeoanalyzers-2026-09-21-findings.md — the sweep and the mechanism</w:t>
      </w:r>
    </w:p>
    <w:p>
      <w:pPr>
        <w:pStyle w:val="ListBullet"/>
      </w:pPr>
      <w:r>
        <w:t>private/_archive/ — 32 MB of rejected generations with reasons, gitignored</w:t>
      </w:r>
    </w:p>
    <w:p>
      <w:r>
        <w:t>Guards — 439 tests. New today: tier-wall redaction, History leak, series interlinking,</w:t>
      </w:r>
    </w:p>
    <w:p>
      <w:r>
        <w:t>OG images must exist on disk, hub cards may not contradict page titles.</w:t>
      </w:r>
    </w:p>
    <w:p>
      <w:pPr>
        <w:pStyle w:val="Heading1"/>
      </w:pPr>
      <w:r>
        <w:t>4 · Your next steps</w:t>
      </w:r>
    </w:p>
    <w:p>
      <w:r>
        <w:t>Today, 15 minutes</w:t>
      </w:r>
    </w:p>
    <w:p>
      <w:pPr>
        <w:pStyle w:val="ListNumber"/>
      </w:pPr>
      <w:r>
        <w:t>Re-request indexing on the four buyer-series URLs. Content grew 60–160% since this</w:t>
      </w:r>
    </w:p>
    <w:p>
      <w:r>
        <w:t xml:space="preserve">   morning's requests. GSC and Bing.</w:t>
      </w:r>
    </w:p>
    <w:p>
      <w:pPr>
        <w:pStyle w:val="ListNumber"/>
      </w:pPr>
      <w:r>
        <w:t>Hand the zip to the autoposter session. Nothing in it needs anything from this repo.</w:t>
      </w:r>
    </w:p>
    <w:p>
      <w:r>
        <w:t>This week, about an hour</w:t>
      </w:r>
    </w:p>
    <w:p>
      <w:pPr>
        <w:pStyle w:val="ListNumber"/>
      </w:pPr>
      <w:r>
        <w:t>Generate the Buyer's Guide hero + OG. That page is borrowing the "AEO software</w:t>
      </w:r>
    </w:p>
    <w:p>
      <w:r>
        <w:t xml:space="preserve">   explained" pair — right brand, wrong words. Prompt is in AEO-IMAGE-FIXES\README-FIXES.md.</w:t>
      </w:r>
    </w:p>
    <w:p>
      <w:pPr>
        <w:pStyle w:val="ListNumber"/>
      </w:pPr>
      <w:r>
        <w:t>Fix the best-aeo-tools hero artifact — stray mark above "count." Same folder.</w:t>
      </w:r>
    </w:p>
    <w:p>
      <w:pPr>
        <w:pStyle w:val="ListNumber"/>
      </w:pPr>
      <w:r>
        <w:t>Wikidata organisation item (30–40 min) and LinkedIn company page (20 min).</w:t>
      </w:r>
    </w:p>
    <w:p>
      <w:r>
        <w:t xml:space="preserve">   Neither moves the category number; both move accuracy.</w:t>
      </w:r>
    </w:p>
    <w:p>
      <w:pPr>
        <w:pStyle w:val="ListNumber"/>
      </w:pPr>
      <w:r>
        <w:t>Run the blitz — six posts, order in the disti pack, all six can go the same day.</w:t>
      </w:r>
    </w:p>
    <w:p>
      <w:r>
        <w:t>Ongoing — the only lever with direct evidence</w:t>
      </w:r>
    </w:p>
    <w:p>
      <w:pPr>
        <w:pStyle w:val="ListNumber"/>
      </w:pPr>
      <w:r>
        <w:t>Pitch the five domains the engines actually returned, in order: techradar,</w:t>
      </w:r>
    </w:p>
    <w:p>
      <w:r>
        <w:t xml:space="preserve">   searchenginejournal, dageno.ai, trysight.ai, analyticsinsight.net. Log each date so</w:t>
      </w:r>
    </w:p>
    <w:p>
      <w:r>
        <w:t xml:space="preserve">   October is readable against it.</w:t>
      </w:r>
    </w:p>
    <w:p>
      <w:r>
        <w:t>1 October</w:t>
      </w:r>
    </w:p>
    <w:p>
      <w:pPr>
        <w:pStyle w:val="ListNumber"/>
      </w:pPr>
      <w:r>
        <w:t>Re-sweep. Same twelve questions, same method. That is what makes this a measurement</w:t>
      </w:r>
    </w:p>
    <w:p>
      <w:r>
        <w:t xml:space="preserve">   instead of a story.</w:t>
      </w:r>
    </w:p>
    <w:p>
      <w:pPr>
        <w:pStyle w:val="Heading1"/>
      </w:pPr>
      <w:r>
        <w:t>5 · Autoposter next steps and trigger date</w:t>
      </w:r>
    </w:p>
    <w:p>
      <w:r>
        <w:t>Owner: the Claude Code session on /mnt/c/src/pigenai-autopost. Everything it needs</w:t>
      </w:r>
    </w:p>
    <w:p>
      <w:r>
        <w:t>is in the handoff zip.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b/>
              </w:rPr>
              <w:t>Step</w:t>
            </w:r>
          </w:p>
        </w:tc>
        <w:tc>
          <w:tcPr>
            <w:tcW w:type="dxa" w:w="4896"/>
          </w:tcPr>
          <w:p>
            <w:r>
              <w:rPr>
                <w:b/>
              </w:rPr>
            </w:r>
          </w:p>
        </w:tc>
      </w:tr>
      <w:tr>
        <w:tc>
          <w:tcPr>
            <w:tcW w:type="dxa" w:w="4896"/>
          </w:tcPr>
          <w:p>
            <w:r>
              <w:t>1</w:t>
            </w:r>
          </w:p>
        </w:tc>
        <w:tc>
          <w:tcPr>
            <w:tcW w:type="dxa" w:w="4896"/>
          </w:tcPr>
          <w:p>
            <w:r>
              <w:t>Read campaign.json — it is the specification; the WO is the rationale</w:t>
            </w:r>
          </w:p>
        </w:tc>
      </w:tr>
      <w:tr>
        <w:tc>
          <w:tcPr>
            <w:tcW w:type="dxa" w:w="4896"/>
          </w:tcPr>
          <w:p>
            <w:r>
              <w:t>2</w:t>
            </w:r>
          </w:p>
        </w:tc>
        <w:tc>
          <w:tcPr>
            <w:tcW w:type="dxa" w:w="4896"/>
          </w:tcPr>
          <w:p>
            <w:r>
              <w:t>Build the BLITZ lane as a fourth, reusable lane. Idle by default. Do not touch the existing three or the slack slots</w:t>
            </w:r>
          </w:p>
        </w:tc>
      </w:tr>
      <w:tr>
        <w:tc>
          <w:tcPr>
            <w:tcW w:type="dxa" w:w="4896"/>
          </w:tcPr>
          <w:p>
            <w:r>
              <w:t>3</w:t>
            </w:r>
          </w:p>
        </w:tc>
        <w:tc>
          <w:tcPr>
            <w:tcW w:type="dxa" w:w="4896"/>
          </w:tcPr>
          <w:p>
            <w:r>
              <w:t>Take 08:30 CT if free, else 08:45 / 09:00 / 09:30. Verify against cadence_v3.json rather than assume</w:t>
            </w:r>
          </w:p>
        </w:tc>
      </w:tr>
      <w:tr>
        <w:tc>
          <w:tcPr>
            <w:tcW w:type="dxa" w:w="4896"/>
          </w:tcPr>
          <w:p>
            <w:r>
              <w:t>4</w:t>
            </w:r>
          </w:p>
        </w:tc>
        <w:tc>
          <w:tcPr>
            <w:tcW w:type="dxa" w:w="4896"/>
          </w:tcPr>
          <w:p>
            <w:r>
              <w:t>Extend test_swimlanes.py: weekdays only, no collision with Slot A/B/C, never consumes a slack slot</w:t>
            </w:r>
          </w:p>
        </w:tc>
      </w:tr>
      <w:tr>
        <w:tc>
          <w:tcPr>
            <w:tcW w:type="dxa" w:w="4896"/>
          </w:tcPr>
          <w:p>
            <w:r>
              <w:t>5</w:t>
            </w:r>
          </w:p>
        </w:tc>
        <w:tc>
          <w:tcPr>
            <w:tcW w:type="dxa" w:w="4896"/>
          </w:tcPr>
          <w:p>
            <w:r>
              <w:t>Rotation state survives restart</w:t>
            </w:r>
          </w:p>
        </w:tc>
      </w:tr>
      <w:tr>
        <w:tc>
          <w:tcPr>
            <w:tcW w:type="dxa" w:w="4896"/>
          </w:tcPr>
          <w:p>
            <w:r>
              <w:t>6</w:t>
            </w:r>
          </w:p>
        </w:tc>
        <w:tc>
          <w:tcPr>
            <w:tcW w:type="dxa" w:w="4896"/>
          </w:tcPr>
          <w:p>
            <w:r>
              <w:t>Dry run prints all 24–36 days — post, pass, angle — for a human to read end to end</w:t>
            </w:r>
          </w:p>
        </w:tc>
      </w:tr>
      <w:tr>
        <w:tc>
          <w:tcPr>
            <w:tcW w:type="dxa" w:w="4896"/>
          </w:tcPr>
          <w:p>
            <w:r>
              <w:t>7</w:t>
            </w:r>
          </w:p>
        </w:tc>
        <w:tc>
          <w:tcPr>
            <w:tcW w:type="dxa" w:w="4896"/>
          </w:tcPr>
          <w:p>
            <w:r>
              <w:t>Founder reads the dry run and gives the go-word</w:t>
            </w:r>
          </w:p>
        </w:tc>
      </w:tr>
      <w:tr>
        <w:tc>
          <w:tcPr>
            <w:tcW w:type="dxa" w:w="4896"/>
          </w:tcPr>
          <w:p>
            <w:r>
              <w:t>8</w:t>
            </w:r>
          </w:p>
        </w:tc>
        <w:tc>
          <w:tcPr>
            <w:tcW w:type="dxa" w:w="4896"/>
          </w:tcPr>
          <w:p>
            <w:r>
              <w:t>First live post</w:t>
            </w:r>
          </w:p>
        </w:tc>
      </w:tr>
    </w:tbl>
    <w:p/>
    <w:p>
      <w:pPr>
        <w:pStyle w:val="Heading2"/>
      </w:pPr>
      <w:r>
        <w:t>Trigger date</w:t>
      </w:r>
    </w:p>
    <w:p>
      <w:r>
        <w:rPr>
          <w:b/>
        </w:rPr>
        <w:t>Recommended first live post: Monday 28 September 2026, 08:30 CT.</w:t>
      </w:r>
    </w:p>
    <w:p>
      <w:r>
        <w:t>The reasoning, so you can overrule it knowingly:</w:t>
      </w:r>
    </w:p>
    <w:p>
      <w:pPr>
        <w:pStyle w:val="ListBullet"/>
      </w:pPr>
      <w:r>
        <w:t>The manual blitz goes first, this week. Six posts, your own account, your own voice.</w:t>
      </w:r>
    </w:p>
    <w:p>
      <w:r>
        <w:t xml:space="preserve">  The lane is the *heartbeat behind* that push, not a substitute for it.</w:t>
      </w:r>
    </w:p>
    <w:p>
      <w:pPr>
        <w:pStyle w:val="ListBullet"/>
      </w:pPr>
      <w:r>
        <w:t>One week of build and dry-run is enough for a new lane and not so much that the</w:t>
      </w:r>
    </w:p>
    <w:p>
      <w:r>
        <w:t xml:space="preserve">  content goes stale.</w:t>
      </w:r>
    </w:p>
    <w:p>
      <w:pPr>
        <w:pStyle w:val="ListBullet"/>
      </w:pPr>
      <w:r>
        <w:t>A Monday start puts pass 1 of the standard — the strongest asset — into the week's</w:t>
      </w:r>
    </w:p>
    <w:p>
      <w:r>
        <w:t xml:space="preserve">  highest-attention slot.</w:t>
      </w:r>
    </w:p>
    <w:p>
      <w:pPr>
        <w:pStyle w:val="ListBullet"/>
      </w:pPr>
      <w:r>
        <w:t>28 September lands three days before the 1 October re-sweep, so the sweep measures a</w:t>
      </w:r>
    </w:p>
    <w:p>
      <w:r>
        <w:t xml:space="preserve">  period that is almost entirely pre-lane. That gives October a clean baseline and makes</w:t>
      </w:r>
    </w:p>
    <w:p>
      <w:r>
        <w:t xml:space="preserve">  the *November* number the first honest read on whether the lane did anything.</w:t>
      </w:r>
    </w:p>
    <w:p>
      <w:r>
        <w:rPr>
          <w:b/>
        </w:rPr>
        <w:t>Hard gate: no live post until you have read the dry-run schedule. Six passes over six</w:t>
      </w:r>
    </w:p>
    <w:p>
      <w:r>
        <w:t>URLs is 36 posts under your name, and the one thing worse than not running it is running</w:t>
      </w:r>
    </w:p>
    <w:p>
      <w:r>
        <w:t>it with a generated number nobody checked.</w:t>
      </w:r>
    </w:p>
    <w:sectPr w:rsidR="00FC693F" w:rsidRPr="0006063C" w:rsidSect="00034616">
      <w:pgSz w:w="12240" w:h="15840"/>
      <w:pgMar w:top="1152" w:right="1224" w:bottom="144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