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r>
        <w:rPr>
          <w:i/>
          <w:color w:val="555555"/>
        </w:rPr>
        <w:t>[ Image: Blog-5-jamie-arrival.jpeg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Blog-5-payout-ratio.png ]</w:t>
      </w:r>
    </w:p>
    <w:p>
      <w:r>
        <w:rPr>
          <w:i/>
          <w:color w:val="555555"/>
        </w:rPr>
        <w:t>Caption: HighYield Energy Partners — 11.8% yield, 162% payout ratio, -$89M FCF.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Dividend History: Cut 3 times in 10 years</w:t>
      </w:r>
    </w:p>
    <w:p>
      <w:r>
        <w:t>"See that payout ratio?" Alex pointed. "162%. That means for every dollar this company earns, it's paying out $1.62 in dividends."</w:t>
      </w:r>
    </w:p>
    <w:p>
      <w:r>
        <w:t>Jamie squinted. "How is that possible?"</w:t>
      </w:r>
    </w:p>
    <w:p>
      <w:r>
        <w:t>"Debt. They're borrowing money to pay dividends. 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Company</w:t>
            </w:r>
          </w:p>
        </w:tc>
        <w:tc>
          <w:tcPr>
            <w:tcW w:type="dxa" w:w="1728"/>
          </w:tcPr>
          <w:p>
            <w:r>
              <w:rPr>
                <w:b/>
              </w:rPr>
            </w:r>
            <w:r>
              <w:rPr>
                <w:b/>
              </w:rPr>
              <w:t>Yield</w:t>
            </w:r>
          </w:p>
        </w:tc>
        <w:tc>
          <w:tcPr>
            <w:tcW w:type="dxa" w:w="1728"/>
          </w:tcPr>
          <w:p>
            <w:r>
              <w:rPr>
                <w:b/>
              </w:rPr>
            </w:r>
            <w:r>
              <w:rPr>
                <w:b/>
              </w:rPr>
              <w:t>Payout Ratio</w:t>
            </w:r>
          </w:p>
        </w:tc>
        <w:tc>
          <w:tcPr>
            <w:tcW w:type="dxa" w:w="1728"/>
          </w:tcPr>
          <w:p>
            <w:r>
              <w:rPr>
                <w:b/>
              </w:rPr>
            </w:r>
            <w:r>
              <w:rPr>
                <w:b/>
              </w:rPr>
              <w:t>FCF</w:t>
            </w:r>
          </w:p>
        </w:tc>
        <w:tc>
          <w:tcPr>
            <w:tcW w:type="dxa" w:w="1728"/>
          </w:tcPr>
          <w:p>
            <w:r>
              <w:rPr>
                <w:b/>
              </w:rPr>
            </w:r>
            <w:r>
              <w:rPr>
                <w:b/>
              </w:rPr>
              <w:t>Verdict</w:t>
            </w:r>
          </w:p>
        </w:tc>
      </w:tr>
      <w:tr>
        <w:tc>
          <w:tcPr>
            <w:tcW w:type="dxa" w:w="1728"/>
          </w:tcPr>
          <w:p>
            <w:r/>
            <w:r>
              <w:t>HighYield Energy</w:t>
            </w:r>
          </w:p>
        </w:tc>
        <w:tc>
          <w:tcPr>
            <w:tcW w:type="dxa" w:w="1728"/>
          </w:tcPr>
          <w:p>
            <w:r/>
            <w:r>
              <w:t>11.8%</w:t>
            </w:r>
          </w:p>
        </w:tc>
        <w:tc>
          <w:tcPr>
            <w:tcW w:type="dxa" w:w="1728"/>
          </w:tcPr>
          <w:p>
            <w:r/>
            <w:r>
              <w:t>162%</w:t>
            </w:r>
          </w:p>
        </w:tc>
        <w:tc>
          <w:tcPr>
            <w:tcW w:type="dxa" w:w="1728"/>
          </w:tcPr>
          <w:p>
            <w:r/>
            <w:r>
              <w:t>-$89M</w:t>
            </w:r>
          </w:p>
        </w:tc>
        <w:tc>
          <w:tcPr>
            <w:tcW w:type="dxa" w:w="1728"/>
          </w:tcPr>
          <w:p>
            <w:r/>
            <w:r>
              <w:t>Trap</w:t>
            </w:r>
          </w:p>
        </w:tc>
      </w:tr>
      <w:tr>
        <w:tc>
          <w:tcPr>
            <w:tcW w:type="dxa" w:w="1728"/>
          </w:tcPr>
          <w:p>
            <w:r/>
            <w:r>
              <w:t>DividendKing Corp</w:t>
            </w:r>
          </w:p>
        </w:tc>
        <w:tc>
          <w:tcPr>
            <w:tcW w:type="dxa" w:w="1728"/>
          </w:tcPr>
          <w:p>
            <w:r/>
            <w:r>
              <w:t>8.2%</w:t>
            </w:r>
          </w:p>
        </w:tc>
        <w:tc>
          <w:tcPr>
            <w:tcW w:type="dxa" w:w="1728"/>
          </w:tcPr>
          <w:p>
            <w:r/>
            <w:r>
              <w:t>145%</w:t>
            </w:r>
          </w:p>
        </w:tc>
        <w:tc>
          <w:tcPr>
            <w:tcW w:type="dxa" w:w="1728"/>
          </w:tcPr>
          <w:p>
            <w:r/>
            <w:r>
              <w:t>-$12M</w:t>
            </w:r>
          </w:p>
        </w:tc>
        <w:tc>
          <w:tcPr>
            <w:tcW w:type="dxa" w:w="1728"/>
          </w:tcPr>
          <w:p>
            <w:r/>
            <w:r>
              <w:t>Risky</w:t>
            </w:r>
          </w:p>
        </w:tc>
      </w:tr>
      <w:tr>
        <w:tc>
          <w:tcPr>
            <w:tcW w:type="dxa" w:w="1728"/>
          </w:tcPr>
          <w:p>
            <w:r/>
            <w:r>
              <w:t>SteadyGrowth Inc</w:t>
            </w:r>
          </w:p>
        </w:tc>
        <w:tc>
          <w:tcPr>
            <w:tcW w:type="dxa" w:w="1728"/>
          </w:tcPr>
          <w:p>
            <w:r/>
            <w:r>
              <w:t>3.8%</w:t>
            </w:r>
          </w:p>
        </w:tc>
        <w:tc>
          <w:tcPr>
            <w:tcW w:type="dxa" w:w="1728"/>
          </w:tcPr>
          <w:p>
            <w:r/>
            <w:r>
              <w:t>42%</w:t>
            </w:r>
          </w:p>
        </w:tc>
        <w:tc>
          <w:tcPr>
            <w:tcW w:type="dxa" w:w="1728"/>
          </w:tcPr>
          <w:p>
            <w:r/>
            <w:r>
              <w:t>+$2.1B</w:t>
            </w:r>
          </w:p>
        </w:tc>
        <w:tc>
          <w:tcPr>
            <w:tcW w:type="dxa" w:w="1728"/>
          </w:tcPr>
          <w:p>
            <w:r/>
            <w:r>
              <w:t>Healthy</w:t>
            </w:r>
          </w:p>
        </w:tc>
      </w:tr>
      <w:tr>
        <w:tc>
          <w:tcPr>
            <w:tcW w:type="dxa" w:w="1728"/>
          </w:tcPr>
          <w:p>
            <w:r/>
            <w:r>
              <w:t>Johnson &amp; Johnson</w:t>
            </w:r>
          </w:p>
        </w:tc>
        <w:tc>
          <w:tcPr>
            <w:tcW w:type="dxa" w:w="1728"/>
          </w:tcPr>
          <w:p>
            <w:r/>
            <w:r>
              <w:t>3.1%</w:t>
            </w:r>
          </w:p>
        </w:tc>
        <w:tc>
          <w:tcPr>
            <w:tcW w:type="dxa" w:w="1728"/>
          </w:tcPr>
          <w:p>
            <w:r/>
            <w:r>
              <w:t>44%</w:t>
            </w:r>
          </w:p>
        </w:tc>
        <w:tc>
          <w:tcPr>
            <w:tcW w:type="dxa" w:w="1728"/>
          </w:tcPr>
          <w:p>
            <w:r/>
            <w:r>
              <w:t>+$18B</w:t>
            </w:r>
          </w:p>
        </w:tc>
        <w:tc>
          <w:tcPr>
            <w:tcW w:type="dxa" w:w="1728"/>
          </w:tcPr>
          <w:p>
            <w:r/>
            <w:r>
              <w:t>Excellent</w:t>
            </w:r>
          </w:p>
        </w:tc>
      </w:tr>
    </w:tbl>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pPr>
        <w:jc w:val="center"/>
      </w:pPr>
      <w:r>
        <w:t>⸻</w:t>
      </w:r>
    </w:p>
    <w:p>
      <w:pPr>
        <w:pStyle w:val="Heading2"/>
      </w:pPr>
      <w:r>
        <w:t>The Math</w:t>
      </w:r>
    </w:p>
    <w:p>
      <w:r>
        <w:rPr>
          <w:rFonts w:ascii="Courier New" w:hAnsi="Courier New"/>
          <w:sz w:val="20"/>
        </w:rPr>
        <w:t>┌──────────────────────────────────────────────────────┐</w:t>
        <w:br/>
        <w:t>│  THE MATH                                            │</w:t>
        <w:br/>
        <w:t>│                                                      │</w:t>
        <w:br/>
        <w:t>│  Cost of one dividend-quality check:    ~$5          │</w:t>
        <w:br/>
        <w:t>│  Time to result:                        ~30 seconds  │</w:t>
        <w:br/>
        <w:t>│                                                      │</w:t>
        <w:br/>
        <w:t>│  Cost of Jamie's "free" Reddit tip:     $0           │</w:t>
        <w:br/>
        <w:t>│  Cost of the 70% dividend cut +         ~$21,000     │</w:t>
        <w:br/>
        <w:t>│   42% stock crash on his $50K:                       │</w:t>
        <w:br/>
        <w:t>│                                                      │</w:t>
        <w:br/>
        <w:t>│  Penny-wise. Pound-foolish.                          │</w:t>
        <w:br/>
        <w:t>└──────────────────────────────────────────────────────┘</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