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分析</w:t>
      </w:r>
      <w:r>
        <w:rPr/>
        <w:t>XXX-</w:t>
      </w:r>
      <w:r>
        <w:rPr/>
        <w:t>技术报告</w:t>
      </w:r>
    </w:p>
    <w:p>
      <w:pPr>
        <w:pStyle w:val="Heading2"/>
        <w:rPr/>
      </w:pPr>
      <w:bookmarkStart w:id="0" w:name="业绩表现"/>
      <w:bookmarkEnd w:id="0"/>
      <w:r>
        <w:rPr/>
        <w:t>业绩表现</w:t>
      </w:r>
    </w:p>
    <w:p>
      <w:pPr>
        <w:pStyle w:val="FirstParagraph"/>
        <w:rPr/>
      </w:pPr>
      <w:r>
        <w:rPr/>
        <w:t>丘栋荣共管理</w:t>
      </w:r>
      <w:r>
        <w:rPr/>
        <w:t>2</w:t>
      </w:r>
      <w:r>
        <w:rPr/>
        <w:t>个基金产品，其表现如下：</w:t>
      </w:r>
    </w:p>
    <w:p>
      <w:pPr>
        <w:pStyle w:val="TextBody"/>
        <w:rPr/>
      </w:pPr>
      <w:r>
        <w:rPr/>
        <w:drawing>
          <wp:inline distT="0" distB="0" distL="114935" distR="114935">
            <wp:extent cx="5334000" cy="17780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334000" cy="1778000"/>
                    </a:xfrm>
                    <a:prstGeom prst="rect">
                      <a:avLst/>
                    </a:prstGeom>
                  </pic:spPr>
                </pic:pic>
              </a:graphicData>
            </a:graphic>
          </wp:inline>
        </w:drawing>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959"/>
        <w:gridCol w:w="960"/>
        <w:gridCol w:w="960"/>
        <w:gridCol w:w="960"/>
        <w:gridCol w:w="960"/>
        <w:gridCol w:w="960"/>
        <w:gridCol w:w="960"/>
        <w:gridCol w:w="960"/>
        <w:gridCol w:w="960"/>
      </w:tblGrid>
      <w:tr>
        <w:trPr>
          <w:cnfStyle w:firstRow="1"/>
        </w:trPr>
        <w:tc>
          <w:tcPr>
            <w:tcW w:w="959" w:type="dxa"/>
            <w:tcBorders>
              <w:bottom w:val="single" w:sz="6" w:space="0" w:color="000001"/>
              <w:insideH w:val="single" w:sz="6" w:space="0" w:color="000001"/>
            </w:tcBorders>
            <w:shd w:fill="auto" w:val="clear"/>
            <w:vAlign w:val="bottom"/>
          </w:tcPr>
          <w:p>
            <w:pPr>
              <w:pStyle w:val="Compact"/>
              <w:spacing w:before="36" w:after="36"/>
              <w:jc w:val="left"/>
              <w:rPr/>
            </w:pPr>
            <w:r>
              <w:rPr/>
              <w:t>名称</w:t>
            </w:r>
          </w:p>
        </w:tc>
        <w:tc>
          <w:tcPr>
            <w:tcW w:w="960" w:type="dxa"/>
            <w:tcBorders>
              <w:bottom w:val="single" w:sz="6" w:space="0" w:color="000001"/>
              <w:insideH w:val="single" w:sz="6" w:space="0" w:color="000001"/>
            </w:tcBorders>
            <w:shd w:fill="auto" w:val="clear"/>
            <w:vAlign w:val="bottom"/>
          </w:tcPr>
          <w:p>
            <w:pPr>
              <w:pStyle w:val="Compact"/>
              <w:spacing w:before="36" w:after="36"/>
              <w:jc w:val="left"/>
              <w:rPr/>
            </w:pPr>
            <w:r>
              <w:rPr/>
              <w:t>近半年累计</w:t>
            </w:r>
          </w:p>
        </w:tc>
        <w:tc>
          <w:tcPr>
            <w:tcW w:w="960" w:type="dxa"/>
            <w:tcBorders>
              <w:bottom w:val="single" w:sz="6" w:space="0" w:color="000001"/>
              <w:insideH w:val="single" w:sz="6" w:space="0" w:color="000001"/>
            </w:tcBorders>
            <w:shd w:fill="auto" w:val="clear"/>
            <w:vAlign w:val="bottom"/>
          </w:tcPr>
          <w:p>
            <w:pPr>
              <w:pStyle w:val="Compact"/>
              <w:spacing w:before="36" w:after="36"/>
              <w:jc w:val="center"/>
              <w:rPr/>
            </w:pPr>
            <w:r>
              <w:rPr/>
              <w:t>夏普率</w:t>
            </w:r>
          </w:p>
        </w:tc>
        <w:tc>
          <w:tcPr>
            <w:tcW w:w="960" w:type="dxa"/>
            <w:tcBorders>
              <w:bottom w:val="single" w:sz="6" w:space="0" w:color="000001"/>
              <w:insideH w:val="single" w:sz="6" w:space="0" w:color="000001"/>
            </w:tcBorders>
            <w:shd w:fill="auto" w:val="clear"/>
            <w:vAlign w:val="bottom"/>
          </w:tcPr>
          <w:p>
            <w:pPr>
              <w:pStyle w:val="Compact"/>
              <w:spacing w:before="36" w:after="36"/>
              <w:jc w:val="left"/>
              <w:rPr/>
            </w:pPr>
            <w:r>
              <w:rPr/>
              <w:t>近一年累计</w:t>
            </w:r>
          </w:p>
        </w:tc>
        <w:tc>
          <w:tcPr>
            <w:tcW w:w="960" w:type="dxa"/>
            <w:tcBorders>
              <w:bottom w:val="single" w:sz="6" w:space="0" w:color="000001"/>
              <w:insideH w:val="single" w:sz="6" w:space="0" w:color="000001"/>
            </w:tcBorders>
            <w:shd w:fill="auto" w:val="clear"/>
            <w:vAlign w:val="bottom"/>
          </w:tcPr>
          <w:p>
            <w:pPr>
              <w:pStyle w:val="Compact"/>
              <w:spacing w:before="36" w:after="36"/>
              <w:jc w:val="center"/>
              <w:rPr/>
            </w:pPr>
            <w:r>
              <w:rPr/>
              <w:t>夏普率</w:t>
            </w:r>
          </w:p>
        </w:tc>
        <w:tc>
          <w:tcPr>
            <w:tcW w:w="960" w:type="dxa"/>
            <w:tcBorders>
              <w:bottom w:val="single" w:sz="6" w:space="0" w:color="000001"/>
              <w:insideH w:val="single" w:sz="6" w:space="0" w:color="000001"/>
            </w:tcBorders>
            <w:shd w:fill="auto" w:val="clear"/>
            <w:vAlign w:val="bottom"/>
          </w:tcPr>
          <w:p>
            <w:pPr>
              <w:pStyle w:val="Compact"/>
              <w:spacing w:before="36" w:after="36"/>
              <w:jc w:val="left"/>
              <w:rPr/>
            </w:pPr>
            <w:r>
              <w:rPr/>
              <w:t>近两年累计</w:t>
            </w:r>
          </w:p>
        </w:tc>
        <w:tc>
          <w:tcPr>
            <w:tcW w:w="960" w:type="dxa"/>
            <w:tcBorders>
              <w:bottom w:val="single" w:sz="6" w:space="0" w:color="000001"/>
              <w:insideH w:val="single" w:sz="6" w:space="0" w:color="000001"/>
            </w:tcBorders>
            <w:shd w:fill="auto" w:val="clear"/>
            <w:vAlign w:val="bottom"/>
          </w:tcPr>
          <w:p>
            <w:pPr>
              <w:pStyle w:val="Compact"/>
              <w:spacing w:before="36" w:after="36"/>
              <w:jc w:val="center"/>
              <w:rPr/>
            </w:pPr>
            <w:r>
              <w:rPr/>
              <w:t>夏普率</w:t>
            </w:r>
          </w:p>
        </w:tc>
        <w:tc>
          <w:tcPr>
            <w:tcW w:w="960" w:type="dxa"/>
            <w:tcBorders>
              <w:bottom w:val="single" w:sz="6" w:space="0" w:color="000001"/>
              <w:insideH w:val="single" w:sz="6" w:space="0" w:color="000001"/>
            </w:tcBorders>
            <w:shd w:fill="auto" w:val="clear"/>
            <w:vAlign w:val="bottom"/>
          </w:tcPr>
          <w:p>
            <w:pPr>
              <w:pStyle w:val="Compact"/>
              <w:spacing w:before="36" w:after="36"/>
              <w:jc w:val="left"/>
              <w:rPr/>
            </w:pPr>
            <w:r>
              <w:rPr/>
              <w:t>近三年累计</w:t>
            </w:r>
          </w:p>
        </w:tc>
        <w:tc>
          <w:tcPr>
            <w:tcW w:w="960" w:type="dxa"/>
            <w:tcBorders>
              <w:bottom w:val="single" w:sz="6" w:space="0" w:color="000001"/>
              <w:insideH w:val="single" w:sz="6" w:space="0" w:color="000001"/>
            </w:tcBorders>
            <w:shd w:fill="auto" w:val="clear"/>
            <w:vAlign w:val="bottom"/>
          </w:tcPr>
          <w:p>
            <w:pPr>
              <w:pStyle w:val="Compact"/>
              <w:spacing w:before="36" w:after="36"/>
              <w:jc w:val="center"/>
              <w:rPr/>
            </w:pPr>
            <w:r>
              <w:rPr/>
              <w:t>夏普率</w:t>
            </w:r>
          </w:p>
        </w:tc>
      </w:tr>
      <w:tr>
        <w:trPr/>
        <w:tc>
          <w:tcPr>
            <w:tcW w:w="959" w:type="dxa"/>
            <w:tcBorders/>
            <w:shd w:fill="auto" w:val="clear"/>
          </w:tcPr>
          <w:p>
            <w:pPr>
              <w:pStyle w:val="Compact"/>
              <w:spacing w:before="36" w:after="36"/>
              <w:jc w:val="left"/>
              <w:rPr/>
            </w:pPr>
            <w:r>
              <w:rPr/>
              <w:t>大盘</w:t>
            </w:r>
          </w:p>
        </w:tc>
        <w:tc>
          <w:tcPr>
            <w:tcW w:w="960" w:type="dxa"/>
            <w:tcBorders/>
            <w:shd w:fill="auto" w:val="clear"/>
          </w:tcPr>
          <w:p>
            <w:pPr>
              <w:pStyle w:val="Compact"/>
              <w:spacing w:before="36" w:after="36"/>
              <w:jc w:val="left"/>
              <w:rPr/>
            </w:pPr>
            <w:r>
              <w:rPr/>
              <w:t>14.4%</w:t>
            </w:r>
          </w:p>
        </w:tc>
        <w:tc>
          <w:tcPr>
            <w:tcW w:w="960" w:type="dxa"/>
            <w:tcBorders/>
            <w:shd w:fill="auto" w:val="clear"/>
          </w:tcPr>
          <w:p>
            <w:pPr>
              <w:pStyle w:val="Compact"/>
              <w:spacing w:before="36" w:after="36"/>
              <w:jc w:val="center"/>
              <w:rPr/>
            </w:pPr>
            <w:r>
              <w:rPr/>
              <w:t>2.71</w:t>
            </w:r>
          </w:p>
        </w:tc>
        <w:tc>
          <w:tcPr>
            <w:tcW w:w="960" w:type="dxa"/>
            <w:tcBorders/>
            <w:shd w:fill="auto" w:val="clear"/>
          </w:tcPr>
          <w:p>
            <w:pPr>
              <w:pStyle w:val="Compact"/>
              <w:spacing w:before="36" w:after="36"/>
              <w:jc w:val="left"/>
              <w:rPr/>
            </w:pPr>
            <w:r>
              <w:rPr/>
              <w:t>37.4%</w:t>
            </w:r>
          </w:p>
        </w:tc>
        <w:tc>
          <w:tcPr>
            <w:tcW w:w="960" w:type="dxa"/>
            <w:tcBorders/>
            <w:shd w:fill="auto" w:val="clear"/>
          </w:tcPr>
          <w:p>
            <w:pPr>
              <w:pStyle w:val="Compact"/>
              <w:spacing w:before="36" w:after="36"/>
              <w:jc w:val="center"/>
              <w:rPr/>
            </w:pPr>
            <w:r>
              <w:rPr/>
              <w:t>2.99</w:t>
            </w:r>
          </w:p>
        </w:tc>
        <w:tc>
          <w:tcPr>
            <w:tcW w:w="960" w:type="dxa"/>
            <w:tcBorders/>
            <w:shd w:fill="auto" w:val="clear"/>
          </w:tcPr>
          <w:p>
            <w:pPr>
              <w:pStyle w:val="Compact"/>
              <w:spacing w:before="36" w:after="36"/>
              <w:jc w:val="left"/>
              <w:rPr/>
            </w:pPr>
            <w:r>
              <w:rPr/>
              <w:t>21.2%</w:t>
            </w:r>
          </w:p>
        </w:tc>
        <w:tc>
          <w:tcPr>
            <w:tcW w:w="960" w:type="dxa"/>
            <w:tcBorders/>
            <w:shd w:fill="auto" w:val="clear"/>
          </w:tcPr>
          <w:p>
            <w:pPr>
              <w:pStyle w:val="Compact"/>
              <w:spacing w:before="36" w:after="36"/>
              <w:jc w:val="center"/>
              <w:rPr/>
            </w:pPr>
            <w:r>
              <w:rPr/>
              <w:t>0.25</w:t>
            </w:r>
          </w:p>
        </w:tc>
        <w:tc>
          <w:tcPr>
            <w:tcW w:w="960" w:type="dxa"/>
            <w:tcBorders/>
            <w:shd w:fill="auto" w:val="clear"/>
          </w:tcPr>
          <w:p>
            <w:pPr>
              <w:pStyle w:val="Compact"/>
              <w:spacing w:before="36" w:after="36"/>
              <w:jc w:val="left"/>
              <w:rPr/>
            </w:pPr>
            <w:r>
              <w:rPr/>
              <w:t>203%</w:t>
            </w:r>
          </w:p>
        </w:tc>
        <w:tc>
          <w:tcPr>
            <w:tcW w:w="960" w:type="dxa"/>
            <w:tcBorders/>
            <w:shd w:fill="auto" w:val="clear"/>
          </w:tcPr>
          <w:p>
            <w:pPr>
              <w:pStyle w:val="Compact"/>
              <w:spacing w:before="36" w:after="36"/>
              <w:jc w:val="center"/>
              <w:rPr/>
            </w:pPr>
            <w:r>
              <w:rPr/>
              <w:t>1.41</w:t>
            </w:r>
          </w:p>
        </w:tc>
      </w:tr>
      <w:tr>
        <w:trPr/>
        <w:tc>
          <w:tcPr>
            <w:tcW w:w="959" w:type="dxa"/>
            <w:tcBorders/>
            <w:shd w:fill="auto" w:val="clear"/>
          </w:tcPr>
          <w:p>
            <w:pPr>
              <w:pStyle w:val="Compact"/>
              <w:spacing w:before="36" w:after="36"/>
              <w:jc w:val="left"/>
              <w:rPr/>
            </w:pPr>
            <w:r>
              <w:rPr/>
              <w:t>双核</w:t>
            </w:r>
          </w:p>
        </w:tc>
        <w:tc>
          <w:tcPr>
            <w:tcW w:w="960" w:type="dxa"/>
            <w:tcBorders/>
            <w:shd w:fill="auto" w:val="clear"/>
          </w:tcPr>
          <w:p>
            <w:pPr>
              <w:pStyle w:val="Compact"/>
              <w:spacing w:before="36" w:after="36"/>
              <w:jc w:val="left"/>
              <w:rPr/>
            </w:pPr>
            <w:r>
              <w:rPr/>
              <w:t>9.7%</w:t>
            </w:r>
          </w:p>
        </w:tc>
        <w:tc>
          <w:tcPr>
            <w:tcW w:w="960" w:type="dxa"/>
            <w:tcBorders/>
            <w:shd w:fill="auto" w:val="clear"/>
          </w:tcPr>
          <w:p>
            <w:pPr>
              <w:pStyle w:val="Compact"/>
              <w:spacing w:before="36" w:after="36"/>
              <w:jc w:val="center"/>
              <w:rPr/>
            </w:pPr>
            <w:r>
              <w:rPr/>
              <w:t>1.84</w:t>
            </w:r>
          </w:p>
        </w:tc>
        <w:tc>
          <w:tcPr>
            <w:tcW w:w="960" w:type="dxa"/>
            <w:tcBorders/>
            <w:shd w:fill="auto" w:val="clear"/>
          </w:tcPr>
          <w:p>
            <w:pPr>
              <w:pStyle w:val="Compact"/>
              <w:spacing w:before="36" w:after="36"/>
              <w:jc w:val="left"/>
              <w:rPr/>
            </w:pPr>
            <w:r>
              <w:rPr/>
              <w:t>27.0%</w:t>
            </w:r>
          </w:p>
        </w:tc>
        <w:tc>
          <w:tcPr>
            <w:tcW w:w="960" w:type="dxa"/>
            <w:tcBorders/>
            <w:shd w:fill="auto" w:val="clear"/>
          </w:tcPr>
          <w:p>
            <w:pPr>
              <w:pStyle w:val="Compact"/>
              <w:spacing w:before="36" w:after="36"/>
              <w:jc w:val="center"/>
              <w:rPr/>
            </w:pPr>
            <w:r>
              <w:rPr/>
              <w:t>2.42</w:t>
            </w:r>
          </w:p>
        </w:tc>
        <w:tc>
          <w:tcPr>
            <w:tcW w:w="960" w:type="dxa"/>
            <w:tcBorders/>
            <w:shd w:fill="auto" w:val="clear"/>
          </w:tcPr>
          <w:p>
            <w:pPr>
              <w:pStyle w:val="Compact"/>
              <w:spacing w:before="36" w:after="36"/>
              <w:jc w:val="left"/>
              <w:rPr/>
            </w:pPr>
            <w:r>
              <w:rPr/>
              <w:t>26.1%</w:t>
            </w:r>
          </w:p>
        </w:tc>
        <w:tc>
          <w:tcPr>
            <w:tcW w:w="960" w:type="dxa"/>
            <w:tcBorders/>
            <w:shd w:fill="auto" w:val="clear"/>
          </w:tcPr>
          <w:p>
            <w:pPr>
              <w:pStyle w:val="Compact"/>
              <w:spacing w:before="36" w:after="36"/>
              <w:jc w:val="center"/>
              <w:rPr/>
            </w:pPr>
            <w:r>
              <w:rPr/>
              <w:t>0.37</w:t>
            </w:r>
          </w:p>
        </w:tc>
        <w:tc>
          <w:tcPr>
            <w:tcW w:w="960" w:type="dxa"/>
            <w:tcBorders/>
            <w:shd w:fill="auto" w:val="clear"/>
          </w:tcPr>
          <w:p>
            <w:pPr>
              <w:pStyle w:val="Compact"/>
              <w:spacing w:before="36" w:after="36"/>
              <w:jc w:val="left"/>
              <w:rPr/>
            </w:pPr>
            <w:r>
              <w:rPr/>
              <w:t>97%</w:t>
            </w:r>
          </w:p>
        </w:tc>
        <w:tc>
          <w:tcPr>
            <w:tcW w:w="960" w:type="dxa"/>
            <w:tcBorders/>
            <w:shd w:fill="auto" w:val="clear"/>
          </w:tcPr>
          <w:p>
            <w:pPr>
              <w:pStyle w:val="Compact"/>
              <w:spacing w:before="36" w:after="36"/>
              <w:jc w:val="center"/>
              <w:rPr/>
            </w:pPr>
            <w:r>
              <w:rPr/>
              <w:t>1.05</w:t>
            </w:r>
          </w:p>
        </w:tc>
      </w:tr>
      <w:tr>
        <w:trPr/>
        <w:tc>
          <w:tcPr>
            <w:tcW w:w="959" w:type="dxa"/>
            <w:tcBorders/>
            <w:shd w:fill="auto" w:val="clear"/>
          </w:tcPr>
          <w:p>
            <w:pPr>
              <w:pStyle w:val="Compact"/>
              <w:spacing w:before="36" w:after="36"/>
              <w:jc w:val="left"/>
              <w:rPr/>
            </w:pPr>
            <w:r>
              <w:rPr/>
              <w:t>沪深</w:t>
            </w:r>
            <w:r>
              <w:rPr/>
              <w:t>300</w:t>
            </w:r>
          </w:p>
        </w:tc>
        <w:tc>
          <w:tcPr>
            <w:tcW w:w="960" w:type="dxa"/>
            <w:tcBorders/>
            <w:shd w:fill="auto" w:val="clear"/>
          </w:tcPr>
          <w:p>
            <w:pPr>
              <w:pStyle w:val="Compact"/>
              <w:spacing w:before="36" w:after="36"/>
              <w:jc w:val="left"/>
              <w:rPr/>
            </w:pPr>
            <w:r>
              <w:rPr/>
              <w:t>3.5%</w:t>
            </w:r>
          </w:p>
        </w:tc>
        <w:tc>
          <w:tcPr>
            <w:tcW w:w="960" w:type="dxa"/>
            <w:tcBorders/>
            <w:shd w:fill="auto" w:val="clear"/>
          </w:tcPr>
          <w:p>
            <w:pPr>
              <w:pStyle w:val="Compact"/>
              <w:spacing w:before="36" w:after="36"/>
              <w:jc w:val="center"/>
              <w:rPr/>
            </w:pPr>
            <w:r>
              <w:rPr/>
              <w:t>0.74</w:t>
            </w:r>
          </w:p>
        </w:tc>
        <w:tc>
          <w:tcPr>
            <w:tcW w:w="960" w:type="dxa"/>
            <w:tcBorders/>
            <w:shd w:fill="auto" w:val="clear"/>
          </w:tcPr>
          <w:p>
            <w:pPr>
              <w:pStyle w:val="Compact"/>
              <w:spacing w:before="36" w:after="36"/>
              <w:jc w:val="left"/>
              <w:rPr/>
            </w:pPr>
            <w:r>
              <w:rPr/>
              <w:t>10.5%</w:t>
            </w:r>
          </w:p>
        </w:tc>
        <w:tc>
          <w:tcPr>
            <w:tcW w:w="960" w:type="dxa"/>
            <w:tcBorders/>
            <w:shd w:fill="auto" w:val="clear"/>
          </w:tcPr>
          <w:p>
            <w:pPr>
              <w:pStyle w:val="Compact"/>
              <w:spacing w:before="36" w:after="36"/>
              <w:jc w:val="center"/>
              <w:rPr/>
            </w:pPr>
            <w:r>
              <w:rPr/>
              <w:t>0.81</w:t>
            </w:r>
          </w:p>
        </w:tc>
        <w:tc>
          <w:tcPr>
            <w:tcW w:w="960" w:type="dxa"/>
            <w:tcBorders/>
            <w:shd w:fill="auto" w:val="clear"/>
          </w:tcPr>
          <w:p>
            <w:pPr>
              <w:pStyle w:val="Compact"/>
              <w:spacing w:before="36" w:after="36"/>
              <w:jc w:val="left"/>
              <w:rPr/>
            </w:pPr>
            <w:r>
              <w:rPr/>
              <w:t>-32.2%</w:t>
            </w:r>
          </w:p>
        </w:tc>
        <w:tc>
          <w:tcPr>
            <w:tcW w:w="960" w:type="dxa"/>
            <w:tcBorders/>
            <w:shd w:fill="auto" w:val="clear"/>
          </w:tcPr>
          <w:p>
            <w:pPr>
              <w:pStyle w:val="Compact"/>
              <w:spacing w:before="36" w:after="36"/>
              <w:jc w:val="center"/>
              <w:rPr/>
            </w:pPr>
            <w:r>
              <w:rPr/>
              <w:t>-0.71</w:t>
            </w:r>
          </w:p>
        </w:tc>
        <w:tc>
          <w:tcPr>
            <w:tcW w:w="960" w:type="dxa"/>
            <w:tcBorders/>
            <w:shd w:fill="auto" w:val="clear"/>
          </w:tcPr>
          <w:p>
            <w:pPr>
              <w:pStyle w:val="Compact"/>
              <w:spacing w:before="36" w:after="36"/>
              <w:jc w:val="left"/>
              <w:rPr/>
            </w:pPr>
            <w:r>
              <w:rPr/>
              <w:t>62%</w:t>
            </w:r>
          </w:p>
        </w:tc>
        <w:tc>
          <w:tcPr>
            <w:tcW w:w="960" w:type="dxa"/>
            <w:tcBorders/>
            <w:shd w:fill="auto" w:val="clear"/>
          </w:tcPr>
          <w:p>
            <w:pPr>
              <w:pStyle w:val="Compact"/>
              <w:spacing w:before="36" w:after="36"/>
              <w:jc w:val="center"/>
              <w:rPr/>
            </w:pPr>
            <w:r>
              <w:rPr/>
              <w:t>0.49</w:t>
            </w:r>
          </w:p>
        </w:tc>
      </w:tr>
    </w:tbl>
    <w:p>
      <w:pPr>
        <w:pStyle w:val="Heading2"/>
        <w:rPr/>
      </w:pPr>
      <w:bookmarkStart w:id="1" w:name="风格分析"/>
      <w:bookmarkEnd w:id="1"/>
      <w:r>
        <w:rPr/>
        <w:t>风格分析</w:t>
      </w:r>
    </w:p>
    <w:p>
      <w:pPr>
        <w:pStyle w:val="Heading3"/>
        <w:rPr/>
      </w:pPr>
      <w:bookmarkStart w:id="2" w:name="交易风格"/>
      <w:bookmarkEnd w:id="2"/>
      <w:r>
        <w:rPr/>
        <w:t>交易风格</w:t>
      </w:r>
    </w:p>
    <w:p>
      <w:pPr>
        <w:pStyle w:val="FirstParagraph"/>
        <w:rPr/>
      </w:pPr>
      <w:r>
        <w:rPr/>
        <w:t>基于公开信息，我们对丘栋荣的管理的汇丰晋信大盘基金的交易风格分析如下：</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959"/>
        <w:gridCol w:w="960"/>
        <w:gridCol w:w="960"/>
        <w:gridCol w:w="960"/>
        <w:gridCol w:w="960"/>
        <w:gridCol w:w="960"/>
        <w:gridCol w:w="960"/>
        <w:gridCol w:w="960"/>
        <w:gridCol w:w="960"/>
      </w:tblGrid>
      <w:tr>
        <w:trPr>
          <w:cnfStyle w:firstRow="1"/>
        </w:trPr>
        <w:tc>
          <w:tcPr>
            <w:tcW w:w="959" w:type="dxa"/>
            <w:tcBorders>
              <w:bottom w:val="single" w:sz="6" w:space="0" w:color="000001"/>
              <w:insideH w:val="single" w:sz="6" w:space="0" w:color="000001"/>
            </w:tcBorders>
            <w:shd w:fill="auto" w:val="clear"/>
            <w:vAlign w:val="bottom"/>
          </w:tcPr>
          <w:p>
            <w:pPr>
              <w:pStyle w:val="Compact"/>
              <w:spacing w:before="36" w:after="36"/>
              <w:jc w:val="left"/>
              <w:rPr/>
            </w:pPr>
            <w:r>
              <w:rPr/>
              <w:t>日期</w:t>
            </w:r>
          </w:p>
        </w:tc>
        <w:tc>
          <w:tcPr>
            <w:tcW w:w="960" w:type="dxa"/>
            <w:tcBorders>
              <w:bottom w:val="single" w:sz="6" w:space="0" w:color="000001"/>
              <w:insideH w:val="single" w:sz="6" w:space="0" w:color="000001"/>
            </w:tcBorders>
            <w:shd w:fill="auto" w:val="clear"/>
            <w:vAlign w:val="bottom"/>
          </w:tcPr>
          <w:p>
            <w:pPr>
              <w:pStyle w:val="Compact"/>
              <w:spacing w:before="36" w:after="36"/>
              <w:jc w:val="center"/>
              <w:rPr/>
            </w:pPr>
            <w:r>
              <w:rPr/>
              <w:t>换手率</w:t>
            </w:r>
          </w:p>
        </w:tc>
        <w:tc>
          <w:tcPr>
            <w:tcW w:w="960" w:type="dxa"/>
            <w:tcBorders>
              <w:bottom w:val="single" w:sz="6" w:space="0" w:color="000001"/>
              <w:insideH w:val="single" w:sz="6" w:space="0" w:color="000001"/>
            </w:tcBorders>
            <w:shd w:fill="auto" w:val="clear"/>
            <w:vAlign w:val="bottom"/>
          </w:tcPr>
          <w:p>
            <w:pPr>
              <w:pStyle w:val="Compact"/>
              <w:spacing w:before="36" w:after="36"/>
              <w:jc w:val="center"/>
              <w:rPr/>
            </w:pPr>
            <w:r>
              <w:rPr/>
              <w:t>排名</w:t>
            </w:r>
            <w:r>
              <w:rPr/>
              <w:t>%</w:t>
            </w:r>
          </w:p>
        </w:tc>
        <w:tc>
          <w:tcPr>
            <w:tcW w:w="960" w:type="dxa"/>
            <w:tcBorders>
              <w:bottom w:val="single" w:sz="6" w:space="0" w:color="000001"/>
              <w:insideH w:val="single" w:sz="6" w:space="0" w:color="000001"/>
            </w:tcBorders>
            <w:shd w:fill="auto" w:val="clear"/>
            <w:vAlign w:val="bottom"/>
          </w:tcPr>
          <w:p>
            <w:pPr>
              <w:pStyle w:val="Compact"/>
              <w:spacing w:before="36" w:after="36"/>
              <w:jc w:val="center"/>
              <w:rPr/>
            </w:pPr>
            <w:r>
              <w:rPr/>
              <w:t>持有期</w:t>
            </w:r>
          </w:p>
        </w:tc>
        <w:tc>
          <w:tcPr>
            <w:tcW w:w="960" w:type="dxa"/>
            <w:tcBorders>
              <w:bottom w:val="single" w:sz="6" w:space="0" w:color="000001"/>
              <w:insideH w:val="single" w:sz="6" w:space="0" w:color="000001"/>
            </w:tcBorders>
            <w:shd w:fill="auto" w:val="clear"/>
            <w:vAlign w:val="bottom"/>
          </w:tcPr>
          <w:p>
            <w:pPr>
              <w:pStyle w:val="Compact"/>
              <w:spacing w:before="36" w:after="36"/>
              <w:jc w:val="center"/>
              <w:rPr/>
            </w:pPr>
            <w:r>
              <w:rPr/>
              <w:t>排名</w:t>
            </w:r>
            <w:r>
              <w:rPr/>
              <w:t>%</w:t>
            </w:r>
          </w:p>
        </w:tc>
        <w:tc>
          <w:tcPr>
            <w:tcW w:w="960" w:type="dxa"/>
            <w:tcBorders>
              <w:bottom w:val="single" w:sz="6" w:space="0" w:color="000001"/>
              <w:insideH w:val="single" w:sz="6" w:space="0" w:color="000001"/>
            </w:tcBorders>
            <w:shd w:fill="auto" w:val="clear"/>
            <w:vAlign w:val="bottom"/>
          </w:tcPr>
          <w:p>
            <w:pPr>
              <w:pStyle w:val="Compact"/>
              <w:spacing w:before="36" w:after="36"/>
              <w:jc w:val="center"/>
              <w:rPr/>
            </w:pPr>
            <w:r>
              <w:rPr/>
              <w:t>前十占比</w:t>
            </w:r>
            <w:r>
              <w:rPr/>
              <w:t>%</w:t>
            </w:r>
          </w:p>
        </w:tc>
        <w:tc>
          <w:tcPr>
            <w:tcW w:w="2880" w:type="dxa"/>
            <w:gridSpan w:val="3"/>
            <w:tcBorders>
              <w:bottom w:val="single" w:sz="6" w:space="0" w:color="000001"/>
              <w:insideH w:val="single" w:sz="6" w:space="0" w:color="000001"/>
            </w:tcBorders>
            <w:shd w:fill="auto" w:val="clear"/>
            <w:vAlign w:val="bottom"/>
          </w:tcPr>
          <w:p>
            <w:pPr>
              <w:pStyle w:val="Compact"/>
              <w:spacing w:before="36" w:after="36"/>
              <w:jc w:val="center"/>
              <w:rPr/>
            </w:pPr>
            <w:r>
              <w:rPr/>
              <w:t>排名</w:t>
            </w:r>
            <w:r>
              <w:rPr/>
              <w:t>%</w:t>
            </w:r>
          </w:p>
        </w:tc>
      </w:tr>
      <w:tr>
        <w:trPr/>
        <w:tc>
          <w:tcPr>
            <w:tcW w:w="959" w:type="dxa"/>
            <w:tcBorders/>
            <w:shd w:fill="auto" w:val="clear"/>
          </w:tcPr>
          <w:p>
            <w:pPr>
              <w:pStyle w:val="Compact"/>
              <w:spacing w:before="36" w:after="36"/>
              <w:jc w:val="left"/>
              <w:rPr/>
            </w:pPr>
            <w:r>
              <w:rPr/>
              <w:t>2014 Q4</w:t>
            </w:r>
          </w:p>
        </w:tc>
        <w:tc>
          <w:tcPr>
            <w:tcW w:w="960" w:type="dxa"/>
            <w:tcBorders/>
            <w:shd w:fill="auto" w:val="clear"/>
          </w:tcPr>
          <w:p>
            <w:pPr>
              <w:pStyle w:val="Compact"/>
              <w:spacing w:before="36" w:after="36"/>
              <w:jc w:val="center"/>
              <w:rPr/>
            </w:pPr>
            <w:r>
              <w:rPr/>
              <w:t>429.63</w:t>
            </w:r>
          </w:p>
        </w:tc>
        <w:tc>
          <w:tcPr>
            <w:tcW w:w="960" w:type="dxa"/>
            <w:tcBorders/>
            <w:shd w:fill="auto" w:val="clear"/>
          </w:tcPr>
          <w:p>
            <w:pPr>
              <w:pStyle w:val="Compact"/>
              <w:spacing w:before="36" w:after="36"/>
              <w:jc w:val="center"/>
              <w:rPr/>
            </w:pPr>
            <w:r>
              <w:rPr/>
              <w:t>54</w:t>
            </w:r>
          </w:p>
        </w:tc>
        <w:tc>
          <w:tcPr>
            <w:tcW w:w="960" w:type="dxa"/>
            <w:tcBorders/>
            <w:shd w:fill="auto" w:val="clear"/>
          </w:tcPr>
          <w:p>
            <w:pPr>
              <w:pStyle w:val="Compact"/>
              <w:spacing w:before="36" w:after="36"/>
              <w:jc w:val="center"/>
              <w:rPr/>
            </w:pPr>
            <w:r>
              <w:rPr/>
              <w:t>0.19</w:t>
            </w:r>
          </w:p>
        </w:tc>
        <w:tc>
          <w:tcPr>
            <w:tcW w:w="960" w:type="dxa"/>
            <w:tcBorders/>
            <w:shd w:fill="auto" w:val="clear"/>
          </w:tcPr>
          <w:p>
            <w:pPr>
              <w:pStyle w:val="Compact"/>
              <w:spacing w:before="36" w:after="36"/>
              <w:jc w:val="center"/>
              <w:rPr/>
            </w:pPr>
            <w:r>
              <w:rPr/>
              <w:t>14</w:t>
            </w:r>
          </w:p>
        </w:tc>
        <w:tc>
          <w:tcPr>
            <w:tcW w:w="960" w:type="dxa"/>
            <w:tcBorders/>
            <w:shd w:fill="auto" w:val="clear"/>
          </w:tcPr>
          <w:p>
            <w:pPr>
              <w:pStyle w:val="Compact"/>
              <w:spacing w:before="36" w:after="36"/>
              <w:jc w:val="center"/>
              <w:rPr/>
            </w:pPr>
            <w:r>
              <w:rPr/>
              <w:t>58.02</w:t>
            </w:r>
          </w:p>
        </w:tc>
        <w:tc>
          <w:tcPr>
            <w:tcW w:w="2880" w:type="dxa"/>
            <w:gridSpan w:val="3"/>
            <w:tcBorders/>
            <w:shd w:fill="auto" w:val="clear"/>
          </w:tcPr>
          <w:p>
            <w:pPr>
              <w:pStyle w:val="Compact"/>
              <w:spacing w:before="36" w:after="36"/>
              <w:jc w:val="center"/>
              <w:rPr/>
            </w:pPr>
            <w:r>
              <w:rPr/>
              <w:t>25</w:t>
            </w:r>
          </w:p>
        </w:tc>
      </w:tr>
      <w:tr>
        <w:trPr/>
        <w:tc>
          <w:tcPr>
            <w:tcW w:w="959" w:type="dxa"/>
            <w:tcBorders/>
            <w:shd w:fill="auto" w:val="clear"/>
          </w:tcPr>
          <w:p>
            <w:pPr>
              <w:pStyle w:val="Compact"/>
              <w:spacing w:before="36" w:after="36"/>
              <w:jc w:val="left"/>
              <w:rPr/>
            </w:pPr>
            <w:r>
              <w:rPr/>
              <w:t>2015 Q2</w:t>
            </w:r>
          </w:p>
        </w:tc>
        <w:tc>
          <w:tcPr>
            <w:tcW w:w="960" w:type="dxa"/>
            <w:tcBorders/>
            <w:shd w:fill="auto" w:val="clear"/>
          </w:tcPr>
          <w:p>
            <w:pPr>
              <w:pStyle w:val="Compact"/>
              <w:spacing w:before="36" w:after="36"/>
              <w:jc w:val="center"/>
              <w:rPr/>
            </w:pPr>
            <w:r>
              <w:rPr/>
              <w:t>190.63</w:t>
            </w:r>
          </w:p>
        </w:tc>
        <w:tc>
          <w:tcPr>
            <w:tcW w:w="960" w:type="dxa"/>
            <w:tcBorders/>
            <w:shd w:fill="auto" w:val="clear"/>
          </w:tcPr>
          <w:p>
            <w:pPr>
              <w:pStyle w:val="Compact"/>
              <w:spacing w:before="36" w:after="36"/>
              <w:jc w:val="center"/>
              <w:rPr/>
            </w:pPr>
            <w:r>
              <w:rPr/>
              <w:t>87</w:t>
            </w:r>
          </w:p>
        </w:tc>
        <w:tc>
          <w:tcPr>
            <w:tcW w:w="960" w:type="dxa"/>
            <w:tcBorders/>
            <w:shd w:fill="auto" w:val="clear"/>
          </w:tcPr>
          <w:p>
            <w:pPr>
              <w:pStyle w:val="Compact"/>
              <w:spacing w:before="36" w:after="36"/>
              <w:jc w:val="center"/>
              <w:rPr/>
            </w:pPr>
            <w:r>
              <w:rPr/>
              <w:t>0.25</w:t>
            </w:r>
          </w:p>
        </w:tc>
        <w:tc>
          <w:tcPr>
            <w:tcW w:w="960" w:type="dxa"/>
            <w:tcBorders/>
            <w:shd w:fill="auto" w:val="clear"/>
          </w:tcPr>
          <w:p>
            <w:pPr>
              <w:pStyle w:val="Compact"/>
              <w:spacing w:before="36" w:after="36"/>
              <w:jc w:val="center"/>
              <w:rPr/>
            </w:pPr>
            <w:r>
              <w:rPr/>
              <w:t>8</w:t>
            </w:r>
          </w:p>
        </w:tc>
        <w:tc>
          <w:tcPr>
            <w:tcW w:w="960" w:type="dxa"/>
            <w:tcBorders/>
            <w:shd w:fill="auto" w:val="clear"/>
          </w:tcPr>
          <w:p>
            <w:pPr>
              <w:pStyle w:val="Compact"/>
              <w:spacing w:before="36" w:after="36"/>
              <w:jc w:val="center"/>
              <w:rPr/>
            </w:pPr>
            <w:r>
              <w:rPr/>
              <w:t>54.31</w:t>
            </w:r>
          </w:p>
        </w:tc>
        <w:tc>
          <w:tcPr>
            <w:tcW w:w="2880" w:type="dxa"/>
            <w:gridSpan w:val="3"/>
            <w:tcBorders/>
            <w:shd w:fill="auto" w:val="clear"/>
          </w:tcPr>
          <w:p>
            <w:pPr>
              <w:pStyle w:val="Compact"/>
              <w:spacing w:before="36" w:after="36"/>
              <w:jc w:val="center"/>
              <w:rPr/>
            </w:pPr>
            <w:r>
              <w:rPr/>
              <w:t>38</w:t>
            </w:r>
          </w:p>
        </w:tc>
      </w:tr>
      <w:tr>
        <w:trPr/>
        <w:tc>
          <w:tcPr>
            <w:tcW w:w="959" w:type="dxa"/>
            <w:tcBorders/>
            <w:shd w:fill="auto" w:val="clear"/>
          </w:tcPr>
          <w:p>
            <w:pPr>
              <w:pStyle w:val="Compact"/>
              <w:spacing w:before="36" w:after="36"/>
              <w:jc w:val="left"/>
              <w:rPr/>
            </w:pPr>
            <w:r>
              <w:rPr/>
              <w:t>2015 Q4</w:t>
            </w:r>
          </w:p>
        </w:tc>
        <w:tc>
          <w:tcPr>
            <w:tcW w:w="960" w:type="dxa"/>
            <w:tcBorders/>
            <w:shd w:fill="auto" w:val="clear"/>
          </w:tcPr>
          <w:p>
            <w:pPr>
              <w:pStyle w:val="Compact"/>
              <w:spacing w:before="36" w:after="36"/>
              <w:jc w:val="center"/>
              <w:rPr/>
            </w:pPr>
            <w:r>
              <w:rPr/>
              <w:t>354.13</w:t>
            </w:r>
          </w:p>
        </w:tc>
        <w:tc>
          <w:tcPr>
            <w:tcW w:w="960" w:type="dxa"/>
            <w:tcBorders/>
            <w:shd w:fill="auto" w:val="clear"/>
          </w:tcPr>
          <w:p>
            <w:pPr>
              <w:pStyle w:val="Compact"/>
              <w:spacing w:before="36" w:after="36"/>
              <w:jc w:val="center"/>
              <w:rPr/>
            </w:pPr>
            <w:r>
              <w:rPr/>
              <w:t>89</w:t>
            </w:r>
          </w:p>
        </w:tc>
        <w:tc>
          <w:tcPr>
            <w:tcW w:w="960" w:type="dxa"/>
            <w:tcBorders/>
            <w:shd w:fill="auto" w:val="clear"/>
          </w:tcPr>
          <w:p>
            <w:pPr>
              <w:pStyle w:val="Compact"/>
              <w:spacing w:before="36" w:after="36"/>
              <w:jc w:val="center"/>
              <w:rPr/>
            </w:pPr>
            <w:r>
              <w:rPr/>
              <w:t>0.14</w:t>
            </w:r>
          </w:p>
        </w:tc>
        <w:tc>
          <w:tcPr>
            <w:tcW w:w="960" w:type="dxa"/>
            <w:tcBorders/>
            <w:shd w:fill="auto" w:val="clear"/>
          </w:tcPr>
          <w:p>
            <w:pPr>
              <w:pStyle w:val="Compact"/>
              <w:spacing w:before="36" w:after="36"/>
              <w:jc w:val="center"/>
              <w:rPr/>
            </w:pPr>
            <w:r>
              <w:rPr/>
              <w:t>7</w:t>
            </w:r>
          </w:p>
        </w:tc>
        <w:tc>
          <w:tcPr>
            <w:tcW w:w="960" w:type="dxa"/>
            <w:tcBorders/>
            <w:shd w:fill="auto" w:val="clear"/>
          </w:tcPr>
          <w:p>
            <w:pPr>
              <w:pStyle w:val="Compact"/>
              <w:spacing w:before="36" w:after="36"/>
              <w:jc w:val="center"/>
              <w:rPr/>
            </w:pPr>
            <w:r>
              <w:rPr/>
              <w:t>52.33</w:t>
            </w:r>
          </w:p>
        </w:tc>
        <w:tc>
          <w:tcPr>
            <w:tcW w:w="2880" w:type="dxa"/>
            <w:gridSpan w:val="3"/>
            <w:tcBorders/>
            <w:shd w:fill="auto" w:val="clear"/>
          </w:tcPr>
          <w:p>
            <w:pPr>
              <w:pStyle w:val="Compact"/>
              <w:spacing w:before="36" w:after="36"/>
              <w:jc w:val="center"/>
              <w:rPr/>
            </w:pPr>
            <w:r>
              <w:rPr/>
              <w:t>33</w:t>
            </w:r>
          </w:p>
        </w:tc>
      </w:tr>
      <w:tr>
        <w:trPr/>
        <w:tc>
          <w:tcPr>
            <w:tcW w:w="959" w:type="dxa"/>
            <w:tcBorders/>
            <w:shd w:fill="auto" w:val="clear"/>
          </w:tcPr>
          <w:p>
            <w:pPr>
              <w:pStyle w:val="Compact"/>
              <w:spacing w:before="36" w:after="36"/>
              <w:jc w:val="left"/>
              <w:rPr/>
            </w:pPr>
            <w:r>
              <w:rPr/>
              <w:t>2016 Q2</w:t>
            </w:r>
          </w:p>
        </w:tc>
        <w:tc>
          <w:tcPr>
            <w:tcW w:w="960" w:type="dxa"/>
            <w:tcBorders/>
            <w:shd w:fill="auto" w:val="clear"/>
          </w:tcPr>
          <w:p>
            <w:pPr>
              <w:pStyle w:val="Compact"/>
              <w:spacing w:before="36" w:after="36"/>
              <w:jc w:val="center"/>
              <w:rPr/>
            </w:pPr>
            <w:r>
              <w:rPr/>
              <w:t>87.67</w:t>
            </w:r>
          </w:p>
        </w:tc>
        <w:tc>
          <w:tcPr>
            <w:tcW w:w="960" w:type="dxa"/>
            <w:tcBorders/>
            <w:shd w:fill="auto" w:val="clear"/>
          </w:tcPr>
          <w:p>
            <w:pPr>
              <w:pStyle w:val="Compact"/>
              <w:spacing w:before="36" w:after="36"/>
              <w:jc w:val="center"/>
              <w:rPr/>
            </w:pPr>
            <w:r>
              <w:rPr/>
              <w:t>83</w:t>
            </w:r>
          </w:p>
        </w:tc>
        <w:tc>
          <w:tcPr>
            <w:tcW w:w="960" w:type="dxa"/>
            <w:tcBorders/>
            <w:shd w:fill="auto" w:val="clear"/>
          </w:tcPr>
          <w:p>
            <w:pPr>
              <w:pStyle w:val="Compact"/>
              <w:spacing w:before="36" w:after="36"/>
              <w:jc w:val="center"/>
              <w:rPr/>
            </w:pPr>
            <w:r>
              <w:rPr/>
              <w:t>0.55</w:t>
            </w:r>
          </w:p>
        </w:tc>
        <w:tc>
          <w:tcPr>
            <w:tcW w:w="960" w:type="dxa"/>
            <w:tcBorders/>
            <w:shd w:fill="auto" w:val="clear"/>
          </w:tcPr>
          <w:p>
            <w:pPr>
              <w:pStyle w:val="Compact"/>
              <w:spacing w:before="36" w:after="36"/>
              <w:jc w:val="center"/>
              <w:rPr/>
            </w:pPr>
            <w:r>
              <w:rPr/>
              <w:t>17</w:t>
            </w:r>
          </w:p>
        </w:tc>
        <w:tc>
          <w:tcPr>
            <w:tcW w:w="960" w:type="dxa"/>
            <w:tcBorders/>
            <w:shd w:fill="auto" w:val="clear"/>
          </w:tcPr>
          <w:p>
            <w:pPr>
              <w:pStyle w:val="Compact"/>
              <w:spacing w:before="36" w:after="36"/>
              <w:jc w:val="center"/>
              <w:rPr/>
            </w:pPr>
            <w:r>
              <w:rPr/>
              <w:t>57.74</w:t>
            </w:r>
          </w:p>
        </w:tc>
        <w:tc>
          <w:tcPr>
            <w:tcW w:w="2880" w:type="dxa"/>
            <w:gridSpan w:val="3"/>
            <w:tcBorders/>
            <w:shd w:fill="auto" w:val="clear"/>
          </w:tcPr>
          <w:p>
            <w:pPr>
              <w:pStyle w:val="Compact"/>
              <w:spacing w:before="36" w:after="36"/>
              <w:jc w:val="center"/>
              <w:rPr/>
            </w:pPr>
            <w:r>
              <w:rPr/>
              <w:t>26</w:t>
            </w:r>
          </w:p>
        </w:tc>
      </w:tr>
      <w:tr>
        <w:trPr/>
        <w:tc>
          <w:tcPr>
            <w:tcW w:w="959" w:type="dxa"/>
            <w:tcBorders/>
            <w:shd w:fill="auto" w:val="clear"/>
          </w:tcPr>
          <w:p>
            <w:pPr>
              <w:pStyle w:val="Compact"/>
              <w:spacing w:before="36" w:after="36"/>
              <w:jc w:val="left"/>
              <w:rPr/>
            </w:pPr>
            <w:r>
              <w:rPr/>
              <w:t>2016 Q4</w:t>
            </w:r>
          </w:p>
        </w:tc>
        <w:tc>
          <w:tcPr>
            <w:tcW w:w="960" w:type="dxa"/>
            <w:tcBorders/>
            <w:shd w:fill="auto" w:val="clear"/>
          </w:tcPr>
          <w:p>
            <w:pPr>
              <w:pStyle w:val="Compact"/>
              <w:spacing w:before="36" w:after="36"/>
              <w:jc w:val="center"/>
              <w:rPr/>
            </w:pPr>
            <w:r>
              <w:rPr/>
              <w:t>200.95</w:t>
            </w:r>
          </w:p>
        </w:tc>
        <w:tc>
          <w:tcPr>
            <w:tcW w:w="960" w:type="dxa"/>
            <w:tcBorders/>
            <w:shd w:fill="auto" w:val="clear"/>
          </w:tcPr>
          <w:p>
            <w:pPr>
              <w:pStyle w:val="Compact"/>
              <w:spacing w:before="36" w:after="36"/>
              <w:jc w:val="center"/>
              <w:rPr/>
            </w:pPr>
            <w:r>
              <w:rPr/>
              <w:t>81</w:t>
            </w:r>
          </w:p>
        </w:tc>
        <w:tc>
          <w:tcPr>
            <w:tcW w:w="960" w:type="dxa"/>
            <w:tcBorders/>
            <w:shd w:fill="auto" w:val="clear"/>
          </w:tcPr>
          <w:p>
            <w:pPr>
              <w:pStyle w:val="Compact"/>
              <w:spacing w:before="36" w:after="36"/>
              <w:jc w:val="center"/>
              <w:rPr/>
            </w:pPr>
            <w:r>
              <w:rPr/>
              <w:t>0.25</w:t>
            </w:r>
          </w:p>
        </w:tc>
        <w:tc>
          <w:tcPr>
            <w:tcW w:w="960" w:type="dxa"/>
            <w:tcBorders/>
            <w:shd w:fill="auto" w:val="clear"/>
          </w:tcPr>
          <w:p>
            <w:pPr>
              <w:pStyle w:val="Compact"/>
              <w:spacing w:before="36" w:after="36"/>
              <w:jc w:val="center"/>
              <w:rPr/>
            </w:pPr>
            <w:r>
              <w:rPr/>
              <w:t>19</w:t>
            </w:r>
          </w:p>
        </w:tc>
        <w:tc>
          <w:tcPr>
            <w:tcW w:w="960" w:type="dxa"/>
            <w:tcBorders/>
            <w:shd w:fill="auto" w:val="clear"/>
          </w:tcPr>
          <w:p>
            <w:pPr>
              <w:pStyle w:val="Compact"/>
              <w:spacing w:before="36" w:after="36"/>
              <w:jc w:val="center"/>
              <w:rPr/>
            </w:pPr>
            <w:r>
              <w:rPr/>
              <w:t>59.46</w:t>
            </w:r>
          </w:p>
        </w:tc>
        <w:tc>
          <w:tcPr>
            <w:tcW w:w="2880" w:type="dxa"/>
            <w:gridSpan w:val="3"/>
            <w:tcBorders/>
            <w:shd w:fill="auto" w:val="clear"/>
          </w:tcPr>
          <w:p>
            <w:pPr>
              <w:pStyle w:val="Compact"/>
              <w:spacing w:before="36" w:after="36"/>
              <w:jc w:val="center"/>
              <w:rPr/>
            </w:pPr>
            <w:r>
              <w:rPr/>
              <w:t>25</w:t>
            </w:r>
          </w:p>
        </w:tc>
      </w:tr>
      <w:tr>
        <w:trPr>
          <w:cnfStyle w:firstRow="1"/>
        </w:trPr>
        <w:tc>
          <w:tcPr>
            <w:tcW w:w="959" w:type="dxa"/>
            <w:tcBorders>
              <w:bottom w:val="single" w:sz="6" w:space="0" w:color="000001"/>
              <w:insideH w:val="single" w:sz="6" w:space="0" w:color="000001"/>
            </w:tcBorders>
            <w:shd w:fill="auto" w:val="clear"/>
            <w:vAlign w:val="bottom"/>
          </w:tcPr>
          <w:p>
            <w:pPr>
              <w:pStyle w:val="Compact"/>
              <w:spacing w:before="36" w:after="36"/>
              <w:jc w:val="left"/>
              <w:rPr/>
            </w:pPr>
            <w:r>
              <w:rPr/>
              <w:t>日期</w:t>
            </w:r>
          </w:p>
        </w:tc>
        <w:tc>
          <w:tcPr>
            <w:tcW w:w="960" w:type="dxa"/>
            <w:tcBorders>
              <w:bottom w:val="single" w:sz="6" w:space="0" w:color="000001"/>
              <w:insideH w:val="single" w:sz="6" w:space="0" w:color="000001"/>
            </w:tcBorders>
            <w:shd w:fill="auto" w:val="clear"/>
            <w:vAlign w:val="bottom"/>
          </w:tcPr>
          <w:p>
            <w:pPr>
              <w:pStyle w:val="Compact"/>
              <w:spacing w:before="36" w:after="36"/>
              <w:jc w:val="center"/>
              <w:rPr/>
            </w:pPr>
            <w:r>
              <w:rPr/>
              <w:t>行业前</w:t>
            </w:r>
            <w:r>
              <w:rPr/>
              <w:t>5</w:t>
            </w:r>
            <w:r>
              <w:rPr/>
              <w:t>占比</w:t>
            </w:r>
            <w:r>
              <w:rPr/>
              <w:t>%</w:t>
            </w:r>
          </w:p>
        </w:tc>
        <w:tc>
          <w:tcPr>
            <w:tcW w:w="960" w:type="dxa"/>
            <w:tcBorders>
              <w:bottom w:val="single" w:sz="6" w:space="0" w:color="000001"/>
              <w:insideH w:val="single" w:sz="6" w:space="0" w:color="000001"/>
            </w:tcBorders>
            <w:shd w:fill="auto" w:val="clear"/>
            <w:vAlign w:val="bottom"/>
          </w:tcPr>
          <w:p>
            <w:pPr>
              <w:pStyle w:val="Compact"/>
              <w:spacing w:before="36" w:after="36"/>
              <w:jc w:val="center"/>
              <w:rPr/>
            </w:pPr>
            <w:r>
              <w:rPr/>
              <w:t>排名</w:t>
            </w:r>
            <w:r>
              <w:rPr/>
              <w:t>%</w:t>
            </w:r>
          </w:p>
        </w:tc>
        <w:tc>
          <w:tcPr>
            <w:tcW w:w="960" w:type="dxa"/>
            <w:tcBorders>
              <w:bottom w:val="single" w:sz="6" w:space="0" w:color="000001"/>
              <w:insideH w:val="single" w:sz="6" w:space="0" w:color="000001"/>
            </w:tcBorders>
            <w:shd w:fill="auto" w:val="clear"/>
            <w:vAlign w:val="bottom"/>
          </w:tcPr>
          <w:p>
            <w:pPr>
              <w:pStyle w:val="Compact"/>
              <w:spacing w:before="36" w:after="36"/>
              <w:jc w:val="center"/>
              <w:rPr/>
            </w:pPr>
            <w:r>
              <w:rPr/>
              <w:t>平均集中度</w:t>
            </w:r>
          </w:p>
        </w:tc>
        <w:tc>
          <w:tcPr>
            <w:tcW w:w="960" w:type="dxa"/>
            <w:tcBorders>
              <w:bottom w:val="single" w:sz="6" w:space="0" w:color="000001"/>
              <w:insideH w:val="single" w:sz="6" w:space="0" w:color="000001"/>
            </w:tcBorders>
            <w:shd w:fill="auto" w:val="clear"/>
            <w:vAlign w:val="bottom"/>
          </w:tcPr>
          <w:p>
            <w:pPr>
              <w:pStyle w:val="Compact"/>
              <w:spacing w:before="36" w:after="36"/>
              <w:jc w:val="center"/>
              <w:rPr/>
            </w:pPr>
            <w:r>
              <w:rPr/>
              <w:t>排名</w:t>
            </w:r>
            <w:r>
              <w:rPr/>
              <w:t>%</w:t>
            </w:r>
          </w:p>
        </w:tc>
        <w:tc>
          <w:tcPr>
            <w:tcW w:w="960" w:type="dxa"/>
            <w:tcBorders>
              <w:bottom w:val="single" w:sz="6" w:space="0" w:color="000001"/>
              <w:insideH w:val="single" w:sz="6" w:space="0" w:color="000001"/>
            </w:tcBorders>
            <w:shd w:fill="auto" w:val="clear"/>
            <w:vAlign w:val="bottom"/>
          </w:tcPr>
          <w:p>
            <w:pPr>
              <w:pStyle w:val="Compact"/>
              <w:spacing w:before="36" w:after="36"/>
              <w:jc w:val="right"/>
              <w:rPr/>
            </w:pPr>
            <w:r>
              <w:rPr/>
              <w:t>PE</w:t>
            </w:r>
          </w:p>
        </w:tc>
        <w:tc>
          <w:tcPr>
            <w:tcW w:w="960" w:type="dxa"/>
            <w:tcBorders>
              <w:bottom w:val="single" w:sz="6" w:space="0" w:color="000001"/>
              <w:insideH w:val="single" w:sz="6" w:space="0" w:color="000001"/>
            </w:tcBorders>
            <w:shd w:fill="auto" w:val="clear"/>
            <w:vAlign w:val="bottom"/>
          </w:tcPr>
          <w:p>
            <w:pPr>
              <w:pStyle w:val="Compact"/>
              <w:spacing w:before="36" w:after="36"/>
              <w:jc w:val="center"/>
              <w:rPr/>
            </w:pPr>
            <w:r>
              <w:rPr/>
              <w:t>排名</w:t>
            </w:r>
            <w:r>
              <w:rPr/>
              <w:t>%</w:t>
            </w:r>
          </w:p>
        </w:tc>
        <w:tc>
          <w:tcPr>
            <w:tcW w:w="960" w:type="dxa"/>
            <w:tcBorders>
              <w:bottom w:val="single" w:sz="6" w:space="0" w:color="000001"/>
              <w:insideH w:val="single" w:sz="6" w:space="0" w:color="000001"/>
            </w:tcBorders>
            <w:shd w:fill="auto" w:val="clear"/>
            <w:vAlign w:val="bottom"/>
          </w:tcPr>
          <w:p>
            <w:pPr>
              <w:pStyle w:val="Compact"/>
              <w:spacing w:before="36" w:after="36"/>
              <w:jc w:val="right"/>
              <w:rPr/>
            </w:pPr>
            <w:r>
              <w:rPr/>
              <w:t>PB</w:t>
            </w:r>
          </w:p>
        </w:tc>
        <w:tc>
          <w:tcPr>
            <w:tcW w:w="960" w:type="dxa"/>
            <w:tcBorders>
              <w:bottom w:val="single" w:sz="6" w:space="0" w:color="000001"/>
              <w:insideH w:val="single" w:sz="6" w:space="0" w:color="000001"/>
            </w:tcBorders>
            <w:shd w:fill="auto" w:val="clear"/>
            <w:vAlign w:val="bottom"/>
          </w:tcPr>
          <w:p>
            <w:pPr>
              <w:pStyle w:val="Compact"/>
              <w:spacing w:before="36" w:after="36"/>
              <w:jc w:val="center"/>
              <w:rPr/>
            </w:pPr>
            <w:r>
              <w:rPr/>
              <w:t>排名</w:t>
            </w:r>
            <w:r>
              <w:rPr/>
              <w:t>%</w:t>
            </w:r>
          </w:p>
        </w:tc>
      </w:tr>
      <w:tr>
        <w:trPr/>
        <w:tc>
          <w:tcPr>
            <w:tcW w:w="959" w:type="dxa"/>
            <w:tcBorders/>
            <w:shd w:fill="auto" w:val="clear"/>
          </w:tcPr>
          <w:p>
            <w:pPr>
              <w:pStyle w:val="Compact"/>
              <w:spacing w:before="36" w:after="36"/>
              <w:jc w:val="left"/>
              <w:rPr/>
            </w:pPr>
            <w:r>
              <w:rPr/>
              <w:t>2014 Q4</w:t>
            </w:r>
          </w:p>
        </w:tc>
        <w:tc>
          <w:tcPr>
            <w:tcW w:w="960" w:type="dxa"/>
            <w:tcBorders/>
            <w:shd w:fill="auto" w:val="clear"/>
          </w:tcPr>
          <w:p>
            <w:pPr>
              <w:pStyle w:val="Compact"/>
              <w:spacing w:before="36" w:after="36"/>
              <w:jc w:val="center"/>
              <w:rPr/>
            </w:pPr>
            <w:r>
              <w:rPr/>
              <w:t>63.35</w:t>
            </w:r>
          </w:p>
        </w:tc>
        <w:tc>
          <w:tcPr>
            <w:tcW w:w="960" w:type="dxa"/>
            <w:tcBorders/>
            <w:shd w:fill="auto" w:val="clear"/>
          </w:tcPr>
          <w:p>
            <w:pPr>
              <w:pStyle w:val="Compact"/>
              <w:spacing w:before="36" w:after="36"/>
              <w:jc w:val="center"/>
              <w:rPr/>
            </w:pPr>
            <w:r>
              <w:rPr/>
              <w:t>16</w:t>
            </w:r>
          </w:p>
        </w:tc>
        <w:tc>
          <w:tcPr>
            <w:tcW w:w="960" w:type="dxa"/>
            <w:tcBorders/>
            <w:shd w:fill="auto" w:val="clear"/>
          </w:tcPr>
          <w:p>
            <w:pPr>
              <w:pStyle w:val="Compact"/>
              <w:spacing w:before="36" w:after="36"/>
              <w:jc w:val="center"/>
              <w:rPr/>
            </w:pPr>
            <w:r>
              <w:rPr/>
              <w:t>0.04</w:t>
            </w:r>
          </w:p>
        </w:tc>
        <w:tc>
          <w:tcPr>
            <w:tcW w:w="960" w:type="dxa"/>
            <w:tcBorders/>
            <w:shd w:fill="auto" w:val="clear"/>
          </w:tcPr>
          <w:p>
            <w:pPr>
              <w:pStyle w:val="Compact"/>
              <w:spacing w:before="36" w:after="36"/>
              <w:jc w:val="center"/>
              <w:rPr/>
            </w:pPr>
            <w:r>
              <w:rPr/>
              <w:t>75</w:t>
            </w:r>
          </w:p>
        </w:tc>
        <w:tc>
          <w:tcPr>
            <w:tcW w:w="960" w:type="dxa"/>
            <w:tcBorders/>
            <w:shd w:fill="auto" w:val="clear"/>
          </w:tcPr>
          <w:p>
            <w:pPr>
              <w:pStyle w:val="Compact"/>
              <w:spacing w:before="36" w:after="36"/>
              <w:jc w:val="right"/>
              <w:rPr/>
            </w:pPr>
            <w:r>
              <w:rPr/>
              <w:t>7.91</w:t>
            </w:r>
          </w:p>
        </w:tc>
        <w:tc>
          <w:tcPr>
            <w:tcW w:w="960" w:type="dxa"/>
            <w:tcBorders/>
            <w:shd w:fill="auto" w:val="clear"/>
          </w:tcPr>
          <w:p>
            <w:pPr>
              <w:pStyle w:val="Compact"/>
              <w:spacing w:before="36" w:after="36"/>
              <w:jc w:val="center"/>
              <w:rPr/>
            </w:pPr>
            <w:r>
              <w:rPr/>
              <w:t>100</w:t>
            </w:r>
          </w:p>
        </w:tc>
        <w:tc>
          <w:tcPr>
            <w:tcW w:w="960" w:type="dxa"/>
            <w:tcBorders/>
            <w:shd w:fill="auto" w:val="clear"/>
          </w:tcPr>
          <w:p>
            <w:pPr>
              <w:pStyle w:val="Compact"/>
              <w:spacing w:before="36" w:after="36"/>
              <w:jc w:val="right"/>
              <w:rPr/>
            </w:pPr>
            <w:r>
              <w:rPr/>
              <w:t>1.45</w:t>
            </w:r>
          </w:p>
        </w:tc>
        <w:tc>
          <w:tcPr>
            <w:tcW w:w="960" w:type="dxa"/>
            <w:tcBorders/>
            <w:shd w:fill="auto" w:val="clear"/>
          </w:tcPr>
          <w:p>
            <w:pPr>
              <w:pStyle w:val="Compact"/>
              <w:spacing w:before="36" w:after="36"/>
              <w:jc w:val="center"/>
              <w:rPr/>
            </w:pPr>
            <w:r>
              <w:rPr/>
              <w:t>100</w:t>
            </w:r>
          </w:p>
        </w:tc>
      </w:tr>
      <w:tr>
        <w:trPr/>
        <w:tc>
          <w:tcPr>
            <w:tcW w:w="959" w:type="dxa"/>
            <w:tcBorders/>
            <w:shd w:fill="auto" w:val="clear"/>
          </w:tcPr>
          <w:p>
            <w:pPr>
              <w:pStyle w:val="Compact"/>
              <w:spacing w:before="36" w:after="36"/>
              <w:jc w:val="left"/>
              <w:rPr/>
            </w:pPr>
            <w:r>
              <w:rPr/>
              <w:t>2015 Q2</w:t>
            </w:r>
          </w:p>
        </w:tc>
        <w:tc>
          <w:tcPr>
            <w:tcW w:w="960" w:type="dxa"/>
            <w:tcBorders/>
            <w:shd w:fill="auto" w:val="clear"/>
          </w:tcPr>
          <w:p>
            <w:pPr>
              <w:pStyle w:val="Compact"/>
              <w:spacing w:before="36" w:after="36"/>
              <w:jc w:val="center"/>
              <w:rPr/>
            </w:pPr>
            <w:r>
              <w:rPr/>
              <w:t>61.02</w:t>
            </w:r>
          </w:p>
        </w:tc>
        <w:tc>
          <w:tcPr>
            <w:tcW w:w="960" w:type="dxa"/>
            <w:tcBorders/>
            <w:shd w:fill="auto" w:val="clear"/>
          </w:tcPr>
          <w:p>
            <w:pPr>
              <w:pStyle w:val="Compact"/>
              <w:spacing w:before="36" w:after="36"/>
              <w:jc w:val="center"/>
              <w:rPr/>
            </w:pPr>
            <w:r>
              <w:rPr/>
              <w:t>12</w:t>
            </w:r>
          </w:p>
        </w:tc>
        <w:tc>
          <w:tcPr>
            <w:tcW w:w="960" w:type="dxa"/>
            <w:tcBorders/>
            <w:shd w:fill="auto" w:val="clear"/>
          </w:tcPr>
          <w:p>
            <w:pPr>
              <w:pStyle w:val="Compact"/>
              <w:spacing w:before="36" w:after="36"/>
              <w:jc w:val="center"/>
              <w:rPr/>
            </w:pPr>
            <w:r>
              <w:rPr/>
              <w:t>0.07</w:t>
            </w:r>
          </w:p>
        </w:tc>
        <w:tc>
          <w:tcPr>
            <w:tcW w:w="960" w:type="dxa"/>
            <w:tcBorders/>
            <w:shd w:fill="auto" w:val="clear"/>
          </w:tcPr>
          <w:p>
            <w:pPr>
              <w:pStyle w:val="Compact"/>
              <w:spacing w:before="36" w:after="36"/>
              <w:jc w:val="center"/>
              <w:rPr/>
            </w:pPr>
            <w:r>
              <w:rPr/>
              <w:t>82</w:t>
            </w:r>
          </w:p>
        </w:tc>
        <w:tc>
          <w:tcPr>
            <w:tcW w:w="960" w:type="dxa"/>
            <w:tcBorders/>
            <w:shd w:fill="auto" w:val="clear"/>
          </w:tcPr>
          <w:p>
            <w:pPr>
              <w:pStyle w:val="Compact"/>
              <w:spacing w:before="36" w:after="36"/>
              <w:jc w:val="right"/>
              <w:rPr/>
            </w:pPr>
            <w:r>
              <w:rPr/>
              <w:t>9.67</w:t>
            </w:r>
          </w:p>
        </w:tc>
        <w:tc>
          <w:tcPr>
            <w:tcW w:w="960" w:type="dxa"/>
            <w:tcBorders/>
            <w:shd w:fill="auto" w:val="clear"/>
          </w:tcPr>
          <w:p>
            <w:pPr>
              <w:pStyle w:val="Compact"/>
              <w:spacing w:before="36" w:after="36"/>
              <w:jc w:val="center"/>
              <w:rPr/>
            </w:pPr>
            <w:r>
              <w:rPr/>
              <w:t>100</w:t>
            </w:r>
          </w:p>
        </w:tc>
        <w:tc>
          <w:tcPr>
            <w:tcW w:w="960" w:type="dxa"/>
            <w:tcBorders/>
            <w:shd w:fill="auto" w:val="clear"/>
          </w:tcPr>
          <w:p>
            <w:pPr>
              <w:pStyle w:val="Compact"/>
              <w:spacing w:before="36" w:after="36"/>
              <w:jc w:val="right"/>
              <w:rPr/>
            </w:pPr>
            <w:r>
              <w:rPr/>
              <w:t>1.74</w:t>
            </w:r>
          </w:p>
        </w:tc>
        <w:tc>
          <w:tcPr>
            <w:tcW w:w="960" w:type="dxa"/>
            <w:tcBorders/>
            <w:shd w:fill="auto" w:val="clear"/>
          </w:tcPr>
          <w:p>
            <w:pPr>
              <w:pStyle w:val="Compact"/>
              <w:spacing w:before="36" w:after="36"/>
              <w:jc w:val="center"/>
              <w:rPr/>
            </w:pPr>
            <w:r>
              <w:rPr/>
              <w:t>97</w:t>
            </w:r>
          </w:p>
        </w:tc>
      </w:tr>
      <w:tr>
        <w:trPr/>
        <w:tc>
          <w:tcPr>
            <w:tcW w:w="959" w:type="dxa"/>
            <w:tcBorders/>
            <w:shd w:fill="auto" w:val="clear"/>
          </w:tcPr>
          <w:p>
            <w:pPr>
              <w:pStyle w:val="Compact"/>
              <w:spacing w:before="36" w:after="36"/>
              <w:jc w:val="left"/>
              <w:rPr/>
            </w:pPr>
            <w:r>
              <w:rPr/>
              <w:t>2015 Q4</w:t>
            </w:r>
          </w:p>
        </w:tc>
        <w:tc>
          <w:tcPr>
            <w:tcW w:w="960" w:type="dxa"/>
            <w:tcBorders/>
            <w:shd w:fill="auto" w:val="clear"/>
          </w:tcPr>
          <w:p>
            <w:pPr>
              <w:pStyle w:val="Compact"/>
              <w:spacing w:before="36" w:after="36"/>
              <w:jc w:val="center"/>
              <w:rPr/>
            </w:pPr>
            <w:r>
              <w:rPr/>
              <w:t>61.92</w:t>
            </w:r>
          </w:p>
        </w:tc>
        <w:tc>
          <w:tcPr>
            <w:tcW w:w="960" w:type="dxa"/>
            <w:tcBorders/>
            <w:shd w:fill="auto" w:val="clear"/>
          </w:tcPr>
          <w:p>
            <w:pPr>
              <w:pStyle w:val="Compact"/>
              <w:spacing w:before="36" w:after="36"/>
              <w:jc w:val="center"/>
              <w:rPr/>
            </w:pPr>
            <w:r>
              <w:rPr/>
              <w:t>6</w:t>
            </w:r>
          </w:p>
        </w:tc>
        <w:tc>
          <w:tcPr>
            <w:tcW w:w="960" w:type="dxa"/>
            <w:tcBorders/>
            <w:shd w:fill="auto" w:val="clear"/>
          </w:tcPr>
          <w:p>
            <w:pPr>
              <w:pStyle w:val="Compact"/>
              <w:spacing w:before="36" w:after="36"/>
              <w:jc w:val="center"/>
              <w:rPr/>
            </w:pPr>
            <w:r>
              <w:rPr/>
              <w:t>0.11</w:t>
            </w:r>
          </w:p>
        </w:tc>
        <w:tc>
          <w:tcPr>
            <w:tcW w:w="960" w:type="dxa"/>
            <w:tcBorders/>
            <w:shd w:fill="auto" w:val="clear"/>
          </w:tcPr>
          <w:p>
            <w:pPr>
              <w:pStyle w:val="Compact"/>
              <w:spacing w:before="36" w:after="36"/>
              <w:jc w:val="center"/>
              <w:rPr/>
            </w:pPr>
            <w:r>
              <w:rPr/>
              <w:t>68</w:t>
            </w:r>
          </w:p>
        </w:tc>
        <w:tc>
          <w:tcPr>
            <w:tcW w:w="960" w:type="dxa"/>
            <w:tcBorders/>
            <w:shd w:fill="auto" w:val="clear"/>
          </w:tcPr>
          <w:p>
            <w:pPr>
              <w:pStyle w:val="Compact"/>
              <w:spacing w:before="36" w:after="36"/>
              <w:jc w:val="right"/>
              <w:rPr/>
            </w:pPr>
            <w:r>
              <w:rPr/>
              <w:t>12.76</w:t>
            </w:r>
          </w:p>
        </w:tc>
        <w:tc>
          <w:tcPr>
            <w:tcW w:w="960" w:type="dxa"/>
            <w:tcBorders/>
            <w:shd w:fill="auto" w:val="clear"/>
          </w:tcPr>
          <w:p>
            <w:pPr>
              <w:pStyle w:val="Compact"/>
              <w:spacing w:before="36" w:after="36"/>
              <w:jc w:val="center"/>
              <w:rPr/>
            </w:pPr>
            <w:r>
              <w:rPr/>
              <w:t>94</w:t>
            </w:r>
          </w:p>
        </w:tc>
        <w:tc>
          <w:tcPr>
            <w:tcW w:w="960" w:type="dxa"/>
            <w:tcBorders/>
            <w:shd w:fill="auto" w:val="clear"/>
          </w:tcPr>
          <w:p>
            <w:pPr>
              <w:pStyle w:val="Compact"/>
              <w:spacing w:before="36" w:after="36"/>
              <w:jc w:val="right"/>
              <w:rPr/>
            </w:pPr>
            <w:r>
              <w:rPr/>
              <w:t>1.68</w:t>
            </w:r>
          </w:p>
        </w:tc>
        <w:tc>
          <w:tcPr>
            <w:tcW w:w="960" w:type="dxa"/>
            <w:tcBorders/>
            <w:shd w:fill="auto" w:val="clear"/>
          </w:tcPr>
          <w:p>
            <w:pPr>
              <w:pStyle w:val="Compact"/>
              <w:spacing w:before="36" w:after="36"/>
              <w:jc w:val="center"/>
              <w:rPr/>
            </w:pPr>
            <w:r>
              <w:rPr/>
              <w:t>94</w:t>
            </w:r>
          </w:p>
        </w:tc>
      </w:tr>
      <w:tr>
        <w:trPr/>
        <w:tc>
          <w:tcPr>
            <w:tcW w:w="959" w:type="dxa"/>
            <w:tcBorders/>
            <w:shd w:fill="auto" w:val="clear"/>
          </w:tcPr>
          <w:p>
            <w:pPr>
              <w:pStyle w:val="Compact"/>
              <w:spacing w:before="36" w:after="36"/>
              <w:jc w:val="left"/>
              <w:rPr/>
            </w:pPr>
            <w:r>
              <w:rPr/>
              <w:t>2016 Q2</w:t>
            </w:r>
          </w:p>
        </w:tc>
        <w:tc>
          <w:tcPr>
            <w:tcW w:w="960" w:type="dxa"/>
            <w:tcBorders/>
            <w:shd w:fill="auto" w:val="clear"/>
          </w:tcPr>
          <w:p>
            <w:pPr>
              <w:pStyle w:val="Compact"/>
              <w:spacing w:before="36" w:after="36"/>
              <w:jc w:val="center"/>
              <w:rPr/>
            </w:pPr>
            <w:r>
              <w:rPr/>
              <w:t>50.44</w:t>
            </w:r>
          </w:p>
        </w:tc>
        <w:tc>
          <w:tcPr>
            <w:tcW w:w="960" w:type="dxa"/>
            <w:tcBorders/>
            <w:shd w:fill="auto" w:val="clear"/>
          </w:tcPr>
          <w:p>
            <w:pPr>
              <w:pStyle w:val="Compact"/>
              <w:spacing w:before="36" w:after="36"/>
              <w:jc w:val="center"/>
              <w:rPr/>
            </w:pPr>
            <w:r>
              <w:rPr/>
              <w:t>13</w:t>
            </w:r>
          </w:p>
        </w:tc>
        <w:tc>
          <w:tcPr>
            <w:tcW w:w="960" w:type="dxa"/>
            <w:tcBorders/>
            <w:shd w:fill="auto" w:val="clear"/>
          </w:tcPr>
          <w:p>
            <w:pPr>
              <w:pStyle w:val="Compact"/>
              <w:spacing w:before="36" w:after="36"/>
              <w:jc w:val="center"/>
              <w:rPr/>
            </w:pPr>
            <w:r>
              <w:rPr/>
              <w:t>0.60</w:t>
            </w:r>
          </w:p>
        </w:tc>
        <w:tc>
          <w:tcPr>
            <w:tcW w:w="960" w:type="dxa"/>
            <w:tcBorders/>
            <w:shd w:fill="auto" w:val="clear"/>
          </w:tcPr>
          <w:p>
            <w:pPr>
              <w:pStyle w:val="Compact"/>
              <w:spacing w:before="36" w:after="36"/>
              <w:jc w:val="center"/>
              <w:rPr/>
            </w:pPr>
            <w:r>
              <w:rPr/>
              <w:t>26</w:t>
            </w:r>
          </w:p>
        </w:tc>
        <w:tc>
          <w:tcPr>
            <w:tcW w:w="960" w:type="dxa"/>
            <w:tcBorders/>
            <w:shd w:fill="auto" w:val="clear"/>
          </w:tcPr>
          <w:p>
            <w:pPr>
              <w:pStyle w:val="Compact"/>
              <w:spacing w:before="36" w:after="36"/>
              <w:jc w:val="right"/>
              <w:rPr/>
            </w:pPr>
            <w:r>
              <w:rPr/>
              <w:t>13.84</w:t>
            </w:r>
          </w:p>
        </w:tc>
        <w:tc>
          <w:tcPr>
            <w:tcW w:w="960" w:type="dxa"/>
            <w:tcBorders/>
            <w:shd w:fill="auto" w:val="clear"/>
          </w:tcPr>
          <w:p>
            <w:pPr>
              <w:pStyle w:val="Compact"/>
              <w:spacing w:before="36" w:after="36"/>
              <w:jc w:val="center"/>
              <w:rPr/>
            </w:pPr>
            <w:r>
              <w:rPr/>
              <w:t>93</w:t>
            </w:r>
          </w:p>
        </w:tc>
        <w:tc>
          <w:tcPr>
            <w:tcW w:w="960" w:type="dxa"/>
            <w:tcBorders/>
            <w:shd w:fill="auto" w:val="clear"/>
          </w:tcPr>
          <w:p>
            <w:pPr>
              <w:pStyle w:val="Compact"/>
              <w:spacing w:before="36" w:after="36"/>
              <w:jc w:val="right"/>
              <w:rPr/>
            </w:pPr>
            <w:r>
              <w:rPr/>
              <w:t>1.51</w:t>
            </w:r>
          </w:p>
        </w:tc>
        <w:tc>
          <w:tcPr>
            <w:tcW w:w="960" w:type="dxa"/>
            <w:tcBorders/>
            <w:shd w:fill="auto" w:val="clear"/>
          </w:tcPr>
          <w:p>
            <w:pPr>
              <w:pStyle w:val="Compact"/>
              <w:spacing w:before="36" w:after="36"/>
              <w:jc w:val="center"/>
              <w:rPr/>
            </w:pPr>
            <w:r>
              <w:rPr/>
              <w:t>94</w:t>
            </w:r>
          </w:p>
        </w:tc>
      </w:tr>
      <w:tr>
        <w:trPr/>
        <w:tc>
          <w:tcPr>
            <w:tcW w:w="959" w:type="dxa"/>
            <w:tcBorders/>
            <w:shd w:fill="auto" w:val="clear"/>
          </w:tcPr>
          <w:p>
            <w:pPr>
              <w:pStyle w:val="Compact"/>
              <w:spacing w:before="36" w:after="36"/>
              <w:jc w:val="left"/>
              <w:rPr/>
            </w:pPr>
            <w:r>
              <w:rPr/>
              <w:t>2016 Q4</w:t>
            </w:r>
          </w:p>
        </w:tc>
        <w:tc>
          <w:tcPr>
            <w:tcW w:w="960" w:type="dxa"/>
            <w:tcBorders/>
            <w:shd w:fill="auto" w:val="clear"/>
          </w:tcPr>
          <w:p>
            <w:pPr>
              <w:pStyle w:val="Compact"/>
              <w:spacing w:before="36" w:after="36"/>
              <w:jc w:val="center"/>
              <w:rPr/>
            </w:pPr>
            <w:r>
              <w:rPr/>
              <w:t>50.25</w:t>
            </w:r>
          </w:p>
        </w:tc>
        <w:tc>
          <w:tcPr>
            <w:tcW w:w="960" w:type="dxa"/>
            <w:tcBorders/>
            <w:shd w:fill="auto" w:val="clear"/>
          </w:tcPr>
          <w:p>
            <w:pPr>
              <w:pStyle w:val="Compact"/>
              <w:spacing w:before="36" w:after="36"/>
              <w:jc w:val="center"/>
              <w:rPr/>
            </w:pPr>
            <w:r>
              <w:rPr/>
              <w:t>15</w:t>
            </w:r>
          </w:p>
        </w:tc>
        <w:tc>
          <w:tcPr>
            <w:tcW w:w="960" w:type="dxa"/>
            <w:tcBorders/>
            <w:shd w:fill="auto" w:val="clear"/>
          </w:tcPr>
          <w:p>
            <w:pPr>
              <w:pStyle w:val="Compact"/>
              <w:spacing w:before="36" w:after="36"/>
              <w:jc w:val="center"/>
              <w:rPr/>
            </w:pPr>
            <w:r>
              <w:rPr/>
              <w:t>0.60</w:t>
            </w:r>
          </w:p>
        </w:tc>
        <w:tc>
          <w:tcPr>
            <w:tcW w:w="960" w:type="dxa"/>
            <w:tcBorders/>
            <w:shd w:fill="auto" w:val="clear"/>
          </w:tcPr>
          <w:p>
            <w:pPr>
              <w:pStyle w:val="Compact"/>
              <w:spacing w:before="36" w:after="36"/>
              <w:jc w:val="center"/>
              <w:rPr/>
            </w:pPr>
            <w:r>
              <w:rPr/>
              <w:t>25</w:t>
            </w:r>
          </w:p>
        </w:tc>
        <w:tc>
          <w:tcPr>
            <w:tcW w:w="960" w:type="dxa"/>
            <w:tcBorders/>
            <w:shd w:fill="auto" w:val="clear"/>
          </w:tcPr>
          <w:p>
            <w:pPr>
              <w:pStyle w:val="Compact"/>
              <w:spacing w:before="36" w:after="36"/>
              <w:jc w:val="right"/>
              <w:rPr/>
            </w:pPr>
            <w:r>
              <w:rPr/>
              <w:t>16.11</w:t>
            </w:r>
          </w:p>
        </w:tc>
        <w:tc>
          <w:tcPr>
            <w:tcW w:w="960" w:type="dxa"/>
            <w:tcBorders/>
            <w:shd w:fill="auto" w:val="clear"/>
          </w:tcPr>
          <w:p>
            <w:pPr>
              <w:pStyle w:val="Compact"/>
              <w:spacing w:before="36" w:after="36"/>
              <w:jc w:val="center"/>
              <w:rPr/>
            </w:pPr>
            <w:r>
              <w:rPr/>
              <w:t>87</w:t>
            </w:r>
          </w:p>
        </w:tc>
        <w:tc>
          <w:tcPr>
            <w:tcW w:w="960" w:type="dxa"/>
            <w:tcBorders/>
            <w:shd w:fill="auto" w:val="clear"/>
          </w:tcPr>
          <w:p>
            <w:pPr>
              <w:pStyle w:val="Compact"/>
              <w:spacing w:before="36" w:after="36"/>
              <w:jc w:val="right"/>
              <w:rPr/>
            </w:pPr>
            <w:r>
              <w:rPr/>
              <w:t>1.34</w:t>
            </w:r>
          </w:p>
        </w:tc>
        <w:tc>
          <w:tcPr>
            <w:tcW w:w="960" w:type="dxa"/>
            <w:tcBorders/>
            <w:shd w:fill="auto" w:val="clear"/>
          </w:tcPr>
          <w:p>
            <w:pPr>
              <w:pStyle w:val="Compact"/>
              <w:spacing w:before="36" w:after="36"/>
              <w:jc w:val="center"/>
              <w:rPr/>
            </w:pPr>
            <w:r>
              <w:rPr/>
              <w:t>94</w:t>
            </w:r>
          </w:p>
        </w:tc>
      </w:tr>
    </w:tbl>
    <w:p>
      <w:pPr>
        <w:pStyle w:val="TextBody"/>
        <w:rPr/>
      </w:pPr>
      <w:r>
        <w:rPr/>
        <w:t>其中排名，从</w:t>
      </w:r>
      <w:r>
        <w:rPr/>
        <w:t>0</w:t>
      </w:r>
      <w:r>
        <w:rPr/>
        <w:t>到</w:t>
      </w:r>
      <w:r>
        <w:rPr/>
        <w:t>100%</w:t>
      </w:r>
      <w:r>
        <w:rPr/>
        <w:t>，是按照对应数值从高到低的顺序，在同期同类基金中做出的。比如持有期排名都小于</w:t>
      </w:r>
      <w:r>
        <w:rPr/>
        <w:t>20%</w:t>
      </w:r>
      <w:r>
        <w:rPr/>
        <w:t>，意味着其相对与一般基金持有股票的品均时间要长，长于</w:t>
      </w:r>
      <w:r>
        <w:rPr/>
        <w:t>80%</w:t>
      </w:r>
      <w:r>
        <w:rPr/>
        <w:t xml:space="preserve">的基金。同理，该基金的个股集中度以及行业集中度都要高于大多数的基金。从以上表格中可以看出 </w:t>
      </w:r>
      <w:r>
        <w:rPr>
          <w:i/>
        </w:rPr>
        <w:t>汇丰晋信大盘基金，是以低换手率，长期地相对集中地投资于低</w:t>
      </w:r>
      <w:r>
        <w:rPr>
          <w:i/>
        </w:rPr>
        <w:t>PB</w:t>
      </w:r>
      <w:r>
        <w:rPr>
          <w:i/>
        </w:rPr>
        <w:t>和低</w:t>
      </w:r>
      <w:r>
        <w:rPr>
          <w:i/>
        </w:rPr>
        <w:t>PE</w:t>
      </w:r>
      <w:r>
        <w:rPr>
          <w:i/>
        </w:rPr>
        <w:t>的股票来获取收益的。因此该基金在市场风格相对单一、投资者风险偏好较低的时候具备良好的表现</w:t>
      </w:r>
      <w:r>
        <w:rPr/>
        <w:t>。</w:t>
      </w:r>
    </w:p>
    <w:p>
      <w:pPr>
        <w:pStyle w:val="TextBody"/>
        <w:rPr/>
      </w:pPr>
      <w:r>
        <w:rPr/>
        <w:t>类似的，我们对丘栋荣管理的另外一只基金汇丰晋信双核策略基金进行分析。</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959"/>
        <w:gridCol w:w="960"/>
        <w:gridCol w:w="960"/>
        <w:gridCol w:w="960"/>
        <w:gridCol w:w="960"/>
        <w:gridCol w:w="960"/>
        <w:gridCol w:w="960"/>
        <w:gridCol w:w="960"/>
        <w:gridCol w:w="960"/>
      </w:tblGrid>
      <w:tr>
        <w:trPr>
          <w:cnfStyle w:firstRow="1"/>
        </w:trPr>
        <w:tc>
          <w:tcPr>
            <w:tcW w:w="959" w:type="dxa"/>
            <w:tcBorders>
              <w:bottom w:val="single" w:sz="6" w:space="0" w:color="000001"/>
              <w:insideH w:val="single" w:sz="6" w:space="0" w:color="000001"/>
            </w:tcBorders>
            <w:shd w:fill="auto" w:val="clear"/>
            <w:vAlign w:val="bottom"/>
          </w:tcPr>
          <w:p>
            <w:pPr>
              <w:pStyle w:val="Compact"/>
              <w:spacing w:before="36" w:after="36"/>
              <w:jc w:val="left"/>
              <w:rPr/>
            </w:pPr>
            <w:r>
              <w:rPr/>
              <w:t>日期</w:t>
            </w:r>
          </w:p>
        </w:tc>
        <w:tc>
          <w:tcPr>
            <w:tcW w:w="960" w:type="dxa"/>
            <w:tcBorders>
              <w:bottom w:val="single" w:sz="6" w:space="0" w:color="000001"/>
              <w:insideH w:val="single" w:sz="6" w:space="0" w:color="000001"/>
            </w:tcBorders>
            <w:shd w:fill="auto" w:val="clear"/>
            <w:vAlign w:val="bottom"/>
          </w:tcPr>
          <w:p>
            <w:pPr>
              <w:pStyle w:val="Compact"/>
              <w:spacing w:before="36" w:after="36"/>
              <w:jc w:val="center"/>
              <w:rPr/>
            </w:pPr>
            <w:r>
              <w:rPr/>
              <w:t>换手率</w:t>
            </w:r>
          </w:p>
        </w:tc>
        <w:tc>
          <w:tcPr>
            <w:tcW w:w="960" w:type="dxa"/>
            <w:tcBorders>
              <w:bottom w:val="single" w:sz="6" w:space="0" w:color="000001"/>
              <w:insideH w:val="single" w:sz="6" w:space="0" w:color="000001"/>
            </w:tcBorders>
            <w:shd w:fill="auto" w:val="clear"/>
            <w:vAlign w:val="bottom"/>
          </w:tcPr>
          <w:p>
            <w:pPr>
              <w:pStyle w:val="Compact"/>
              <w:spacing w:before="36" w:after="36"/>
              <w:jc w:val="center"/>
              <w:rPr/>
            </w:pPr>
            <w:r>
              <w:rPr/>
              <w:t>排名</w:t>
            </w:r>
            <w:r>
              <w:rPr/>
              <w:t>%</w:t>
            </w:r>
          </w:p>
        </w:tc>
        <w:tc>
          <w:tcPr>
            <w:tcW w:w="960" w:type="dxa"/>
            <w:tcBorders>
              <w:bottom w:val="single" w:sz="6" w:space="0" w:color="000001"/>
              <w:insideH w:val="single" w:sz="6" w:space="0" w:color="000001"/>
            </w:tcBorders>
            <w:shd w:fill="auto" w:val="clear"/>
            <w:vAlign w:val="bottom"/>
          </w:tcPr>
          <w:p>
            <w:pPr>
              <w:pStyle w:val="Compact"/>
              <w:spacing w:before="36" w:after="36"/>
              <w:jc w:val="center"/>
              <w:rPr/>
            </w:pPr>
            <w:r>
              <w:rPr/>
              <w:t>持有期</w:t>
            </w:r>
          </w:p>
        </w:tc>
        <w:tc>
          <w:tcPr>
            <w:tcW w:w="960" w:type="dxa"/>
            <w:tcBorders>
              <w:bottom w:val="single" w:sz="6" w:space="0" w:color="000001"/>
              <w:insideH w:val="single" w:sz="6" w:space="0" w:color="000001"/>
            </w:tcBorders>
            <w:shd w:fill="auto" w:val="clear"/>
            <w:vAlign w:val="bottom"/>
          </w:tcPr>
          <w:p>
            <w:pPr>
              <w:pStyle w:val="Compact"/>
              <w:spacing w:before="36" w:after="36"/>
              <w:jc w:val="center"/>
              <w:rPr/>
            </w:pPr>
            <w:r>
              <w:rPr/>
              <w:t>排名</w:t>
            </w:r>
            <w:r>
              <w:rPr/>
              <w:t>%</w:t>
            </w:r>
          </w:p>
        </w:tc>
        <w:tc>
          <w:tcPr>
            <w:tcW w:w="960" w:type="dxa"/>
            <w:tcBorders>
              <w:bottom w:val="single" w:sz="6" w:space="0" w:color="000001"/>
              <w:insideH w:val="single" w:sz="6" w:space="0" w:color="000001"/>
            </w:tcBorders>
            <w:shd w:fill="auto" w:val="clear"/>
            <w:vAlign w:val="bottom"/>
          </w:tcPr>
          <w:p>
            <w:pPr>
              <w:pStyle w:val="Compact"/>
              <w:spacing w:before="36" w:after="36"/>
              <w:jc w:val="center"/>
              <w:rPr/>
            </w:pPr>
            <w:r>
              <w:rPr/>
              <w:t>前十占比</w:t>
            </w:r>
            <w:r>
              <w:rPr/>
              <w:t>%</w:t>
            </w:r>
          </w:p>
        </w:tc>
        <w:tc>
          <w:tcPr>
            <w:tcW w:w="2880" w:type="dxa"/>
            <w:gridSpan w:val="3"/>
            <w:tcBorders>
              <w:bottom w:val="single" w:sz="6" w:space="0" w:color="000001"/>
              <w:insideH w:val="single" w:sz="6" w:space="0" w:color="000001"/>
            </w:tcBorders>
            <w:shd w:fill="auto" w:val="clear"/>
            <w:vAlign w:val="bottom"/>
          </w:tcPr>
          <w:p>
            <w:pPr>
              <w:pStyle w:val="Compact"/>
              <w:spacing w:before="36" w:after="36"/>
              <w:jc w:val="center"/>
              <w:rPr/>
            </w:pPr>
            <w:r>
              <w:rPr/>
              <w:t>排名</w:t>
            </w:r>
            <w:r>
              <w:rPr/>
              <w:t>%</w:t>
            </w:r>
          </w:p>
        </w:tc>
      </w:tr>
      <w:tr>
        <w:trPr/>
        <w:tc>
          <w:tcPr>
            <w:tcW w:w="959" w:type="dxa"/>
            <w:tcBorders/>
            <w:shd w:fill="auto" w:val="clear"/>
          </w:tcPr>
          <w:p>
            <w:pPr>
              <w:pStyle w:val="Compact"/>
              <w:spacing w:before="36" w:after="36"/>
              <w:jc w:val="left"/>
              <w:rPr/>
            </w:pPr>
            <w:r>
              <w:rPr/>
              <w:t>2015 Q2</w:t>
            </w:r>
          </w:p>
        </w:tc>
        <w:tc>
          <w:tcPr>
            <w:tcW w:w="960" w:type="dxa"/>
            <w:tcBorders/>
            <w:shd w:fill="auto" w:val="clear"/>
          </w:tcPr>
          <w:p>
            <w:pPr>
              <w:pStyle w:val="Compact"/>
              <w:spacing w:before="36" w:after="36"/>
              <w:jc w:val="center"/>
              <w:rPr/>
            </w:pPr>
            <w:r>
              <w:rPr/>
              <w:t>282.61</w:t>
            </w:r>
          </w:p>
        </w:tc>
        <w:tc>
          <w:tcPr>
            <w:tcW w:w="960" w:type="dxa"/>
            <w:tcBorders/>
            <w:shd w:fill="auto" w:val="clear"/>
          </w:tcPr>
          <w:p>
            <w:pPr>
              <w:pStyle w:val="Compact"/>
              <w:spacing w:before="36" w:after="36"/>
              <w:jc w:val="center"/>
              <w:rPr/>
            </w:pPr>
            <w:r>
              <w:rPr/>
              <w:t>56</w:t>
            </w:r>
          </w:p>
        </w:tc>
        <w:tc>
          <w:tcPr>
            <w:tcW w:w="960" w:type="dxa"/>
            <w:tcBorders/>
            <w:shd w:fill="auto" w:val="clear"/>
          </w:tcPr>
          <w:p>
            <w:pPr>
              <w:pStyle w:val="Compact"/>
              <w:spacing w:before="36" w:after="36"/>
              <w:jc w:val="center"/>
              <w:rPr/>
            </w:pPr>
            <w:r>
              <w:rPr/>
              <w:t>0.00</w:t>
            </w:r>
          </w:p>
        </w:tc>
        <w:tc>
          <w:tcPr>
            <w:tcW w:w="960" w:type="dxa"/>
            <w:tcBorders/>
            <w:shd w:fill="auto" w:val="clear"/>
          </w:tcPr>
          <w:p>
            <w:pPr>
              <w:pStyle w:val="Compact"/>
              <w:spacing w:before="36" w:after="36"/>
              <w:jc w:val="center"/>
              <w:rPr/>
            </w:pPr>
            <w:r>
              <w:rPr/>
              <w:t>80</w:t>
            </w:r>
          </w:p>
        </w:tc>
        <w:tc>
          <w:tcPr>
            <w:tcW w:w="960" w:type="dxa"/>
            <w:tcBorders/>
            <w:shd w:fill="auto" w:val="clear"/>
          </w:tcPr>
          <w:p>
            <w:pPr>
              <w:pStyle w:val="Compact"/>
              <w:spacing w:before="36" w:after="36"/>
              <w:jc w:val="center"/>
              <w:rPr/>
            </w:pPr>
            <w:r>
              <w:rPr/>
              <w:t>42.52</w:t>
            </w:r>
          </w:p>
        </w:tc>
        <w:tc>
          <w:tcPr>
            <w:tcW w:w="2880" w:type="dxa"/>
            <w:gridSpan w:val="3"/>
            <w:tcBorders/>
            <w:shd w:fill="auto" w:val="clear"/>
          </w:tcPr>
          <w:p>
            <w:pPr>
              <w:pStyle w:val="Compact"/>
              <w:spacing w:before="36" w:after="36"/>
              <w:jc w:val="center"/>
              <w:rPr/>
            </w:pPr>
            <w:r>
              <w:rPr/>
              <w:t>86</w:t>
            </w:r>
          </w:p>
        </w:tc>
      </w:tr>
      <w:tr>
        <w:trPr/>
        <w:tc>
          <w:tcPr>
            <w:tcW w:w="959" w:type="dxa"/>
            <w:tcBorders/>
            <w:shd w:fill="auto" w:val="clear"/>
          </w:tcPr>
          <w:p>
            <w:pPr>
              <w:pStyle w:val="Compact"/>
              <w:spacing w:before="36" w:after="36"/>
              <w:jc w:val="left"/>
              <w:rPr/>
            </w:pPr>
            <w:r>
              <w:rPr/>
              <w:t>2015 Q4</w:t>
            </w:r>
          </w:p>
        </w:tc>
        <w:tc>
          <w:tcPr>
            <w:tcW w:w="960" w:type="dxa"/>
            <w:tcBorders/>
            <w:shd w:fill="auto" w:val="clear"/>
          </w:tcPr>
          <w:p>
            <w:pPr>
              <w:pStyle w:val="Compact"/>
              <w:spacing w:before="36" w:after="36"/>
              <w:jc w:val="center"/>
              <w:rPr/>
            </w:pPr>
            <w:r>
              <w:rPr/>
              <w:t>460.79</w:t>
            </w:r>
          </w:p>
        </w:tc>
        <w:tc>
          <w:tcPr>
            <w:tcW w:w="960" w:type="dxa"/>
            <w:tcBorders/>
            <w:shd w:fill="auto" w:val="clear"/>
          </w:tcPr>
          <w:p>
            <w:pPr>
              <w:pStyle w:val="Compact"/>
              <w:spacing w:before="36" w:after="36"/>
              <w:jc w:val="center"/>
              <w:rPr/>
            </w:pPr>
            <w:r>
              <w:rPr/>
              <w:t>73</w:t>
            </w:r>
          </w:p>
        </w:tc>
        <w:tc>
          <w:tcPr>
            <w:tcW w:w="960" w:type="dxa"/>
            <w:tcBorders/>
            <w:shd w:fill="auto" w:val="clear"/>
          </w:tcPr>
          <w:p>
            <w:pPr>
              <w:pStyle w:val="Compact"/>
              <w:spacing w:before="36" w:after="36"/>
              <w:jc w:val="center"/>
              <w:rPr/>
            </w:pPr>
            <w:r>
              <w:rPr/>
              <w:t>0.00</w:t>
            </w:r>
          </w:p>
        </w:tc>
        <w:tc>
          <w:tcPr>
            <w:tcW w:w="960" w:type="dxa"/>
            <w:tcBorders/>
            <w:shd w:fill="auto" w:val="clear"/>
          </w:tcPr>
          <w:p>
            <w:pPr>
              <w:pStyle w:val="Compact"/>
              <w:spacing w:before="36" w:after="36"/>
              <w:jc w:val="center"/>
              <w:rPr/>
            </w:pPr>
            <w:r>
              <w:rPr/>
              <w:t>57</w:t>
            </w:r>
          </w:p>
        </w:tc>
        <w:tc>
          <w:tcPr>
            <w:tcW w:w="960" w:type="dxa"/>
            <w:tcBorders/>
            <w:shd w:fill="auto" w:val="clear"/>
          </w:tcPr>
          <w:p>
            <w:pPr>
              <w:pStyle w:val="Compact"/>
              <w:spacing w:before="36" w:after="36"/>
              <w:jc w:val="center"/>
              <w:rPr/>
            </w:pPr>
            <w:r>
              <w:rPr/>
              <w:t>64.56</w:t>
            </w:r>
          </w:p>
        </w:tc>
        <w:tc>
          <w:tcPr>
            <w:tcW w:w="2880" w:type="dxa"/>
            <w:gridSpan w:val="3"/>
            <w:tcBorders/>
            <w:shd w:fill="auto" w:val="clear"/>
          </w:tcPr>
          <w:p>
            <w:pPr>
              <w:pStyle w:val="Compact"/>
              <w:spacing w:before="36" w:after="36"/>
              <w:jc w:val="center"/>
              <w:rPr/>
            </w:pPr>
            <w:r>
              <w:rPr/>
              <w:t>39</w:t>
            </w:r>
          </w:p>
        </w:tc>
      </w:tr>
      <w:tr>
        <w:trPr/>
        <w:tc>
          <w:tcPr>
            <w:tcW w:w="959" w:type="dxa"/>
            <w:tcBorders/>
            <w:shd w:fill="auto" w:val="clear"/>
          </w:tcPr>
          <w:p>
            <w:pPr>
              <w:pStyle w:val="Compact"/>
              <w:spacing w:before="36" w:after="36"/>
              <w:jc w:val="left"/>
              <w:rPr/>
            </w:pPr>
            <w:r>
              <w:rPr/>
              <w:t>2016 Q2</w:t>
            </w:r>
          </w:p>
        </w:tc>
        <w:tc>
          <w:tcPr>
            <w:tcW w:w="960" w:type="dxa"/>
            <w:tcBorders/>
            <w:shd w:fill="auto" w:val="clear"/>
          </w:tcPr>
          <w:p>
            <w:pPr>
              <w:pStyle w:val="Compact"/>
              <w:spacing w:before="36" w:after="36"/>
              <w:jc w:val="center"/>
              <w:rPr/>
            </w:pPr>
            <w:r>
              <w:rPr/>
              <w:t>117.10</w:t>
            </w:r>
          </w:p>
        </w:tc>
        <w:tc>
          <w:tcPr>
            <w:tcW w:w="960" w:type="dxa"/>
            <w:tcBorders/>
            <w:shd w:fill="auto" w:val="clear"/>
          </w:tcPr>
          <w:p>
            <w:pPr>
              <w:pStyle w:val="Compact"/>
              <w:spacing w:before="36" w:after="36"/>
              <w:jc w:val="center"/>
              <w:rPr/>
            </w:pPr>
            <w:r>
              <w:rPr/>
              <w:t>78</w:t>
            </w:r>
          </w:p>
        </w:tc>
        <w:tc>
          <w:tcPr>
            <w:tcW w:w="960" w:type="dxa"/>
            <w:tcBorders/>
            <w:shd w:fill="auto" w:val="clear"/>
          </w:tcPr>
          <w:p>
            <w:pPr>
              <w:pStyle w:val="Compact"/>
              <w:spacing w:before="36" w:after="36"/>
              <w:jc w:val="center"/>
              <w:rPr/>
            </w:pPr>
            <w:r>
              <w:rPr/>
              <w:t>0.41</w:t>
            </w:r>
          </w:p>
        </w:tc>
        <w:tc>
          <w:tcPr>
            <w:tcW w:w="960" w:type="dxa"/>
            <w:tcBorders/>
            <w:shd w:fill="auto" w:val="clear"/>
          </w:tcPr>
          <w:p>
            <w:pPr>
              <w:pStyle w:val="Compact"/>
              <w:spacing w:before="36" w:after="36"/>
              <w:jc w:val="center"/>
              <w:rPr/>
            </w:pPr>
            <w:r>
              <w:rPr/>
              <w:t>22</w:t>
            </w:r>
          </w:p>
        </w:tc>
        <w:tc>
          <w:tcPr>
            <w:tcW w:w="960" w:type="dxa"/>
            <w:tcBorders/>
            <w:shd w:fill="auto" w:val="clear"/>
          </w:tcPr>
          <w:p>
            <w:pPr>
              <w:pStyle w:val="Compact"/>
              <w:spacing w:before="36" w:after="36"/>
              <w:jc w:val="center"/>
              <w:rPr/>
            </w:pPr>
            <w:r>
              <w:rPr/>
              <w:t>55.76</w:t>
            </w:r>
          </w:p>
        </w:tc>
        <w:tc>
          <w:tcPr>
            <w:tcW w:w="2880" w:type="dxa"/>
            <w:gridSpan w:val="3"/>
            <w:tcBorders/>
            <w:shd w:fill="auto" w:val="clear"/>
          </w:tcPr>
          <w:p>
            <w:pPr>
              <w:pStyle w:val="Compact"/>
              <w:spacing w:before="36" w:after="36"/>
              <w:jc w:val="center"/>
              <w:rPr/>
            </w:pPr>
            <w:r>
              <w:rPr/>
              <w:t>53</w:t>
            </w:r>
          </w:p>
        </w:tc>
      </w:tr>
      <w:tr>
        <w:trPr/>
        <w:tc>
          <w:tcPr>
            <w:tcW w:w="959" w:type="dxa"/>
            <w:tcBorders/>
            <w:shd w:fill="auto" w:val="clear"/>
          </w:tcPr>
          <w:p>
            <w:pPr>
              <w:pStyle w:val="Compact"/>
              <w:spacing w:before="36" w:after="36"/>
              <w:jc w:val="left"/>
              <w:rPr/>
            </w:pPr>
            <w:r>
              <w:rPr/>
              <w:t>2016 Q4</w:t>
            </w:r>
          </w:p>
        </w:tc>
        <w:tc>
          <w:tcPr>
            <w:tcW w:w="960" w:type="dxa"/>
            <w:tcBorders/>
            <w:shd w:fill="auto" w:val="clear"/>
          </w:tcPr>
          <w:p>
            <w:pPr>
              <w:pStyle w:val="Compact"/>
              <w:spacing w:before="36" w:after="36"/>
              <w:jc w:val="center"/>
              <w:rPr/>
            </w:pPr>
            <w:r>
              <w:rPr/>
              <w:t>248.94</w:t>
            </w:r>
          </w:p>
        </w:tc>
        <w:tc>
          <w:tcPr>
            <w:tcW w:w="960" w:type="dxa"/>
            <w:tcBorders/>
            <w:shd w:fill="auto" w:val="clear"/>
          </w:tcPr>
          <w:p>
            <w:pPr>
              <w:pStyle w:val="Compact"/>
              <w:spacing w:before="36" w:after="36"/>
              <w:jc w:val="center"/>
              <w:rPr/>
            </w:pPr>
            <w:r>
              <w:rPr/>
              <w:t>79</w:t>
            </w:r>
          </w:p>
        </w:tc>
        <w:tc>
          <w:tcPr>
            <w:tcW w:w="960" w:type="dxa"/>
            <w:tcBorders/>
            <w:shd w:fill="auto" w:val="clear"/>
          </w:tcPr>
          <w:p>
            <w:pPr>
              <w:pStyle w:val="Compact"/>
              <w:spacing w:before="36" w:after="36"/>
              <w:jc w:val="center"/>
              <w:rPr/>
            </w:pPr>
            <w:r>
              <w:rPr/>
              <w:t>0.20</w:t>
            </w:r>
          </w:p>
        </w:tc>
        <w:tc>
          <w:tcPr>
            <w:tcW w:w="960" w:type="dxa"/>
            <w:tcBorders/>
            <w:shd w:fill="auto" w:val="clear"/>
          </w:tcPr>
          <w:p>
            <w:pPr>
              <w:pStyle w:val="Compact"/>
              <w:spacing w:before="36" w:after="36"/>
              <w:jc w:val="center"/>
              <w:rPr/>
            </w:pPr>
            <w:r>
              <w:rPr/>
              <w:t>20</w:t>
            </w:r>
          </w:p>
        </w:tc>
        <w:tc>
          <w:tcPr>
            <w:tcW w:w="960" w:type="dxa"/>
            <w:tcBorders/>
            <w:shd w:fill="auto" w:val="clear"/>
          </w:tcPr>
          <w:p>
            <w:pPr>
              <w:pStyle w:val="Compact"/>
              <w:spacing w:before="36" w:after="36"/>
              <w:jc w:val="center"/>
              <w:rPr/>
            </w:pPr>
            <w:r>
              <w:rPr/>
              <w:t>63.88</w:t>
            </w:r>
          </w:p>
        </w:tc>
        <w:tc>
          <w:tcPr>
            <w:tcW w:w="2880" w:type="dxa"/>
            <w:gridSpan w:val="3"/>
            <w:tcBorders/>
            <w:shd w:fill="auto" w:val="clear"/>
          </w:tcPr>
          <w:p>
            <w:pPr>
              <w:pStyle w:val="Compact"/>
              <w:spacing w:before="36" w:after="36"/>
              <w:jc w:val="center"/>
              <w:rPr/>
            </w:pPr>
            <w:r>
              <w:rPr/>
              <w:t>41</w:t>
            </w:r>
          </w:p>
        </w:tc>
      </w:tr>
      <w:tr>
        <w:trPr>
          <w:cnfStyle w:firstRow="1"/>
        </w:trPr>
        <w:tc>
          <w:tcPr>
            <w:tcW w:w="959" w:type="dxa"/>
            <w:tcBorders>
              <w:bottom w:val="single" w:sz="6" w:space="0" w:color="000001"/>
              <w:insideH w:val="single" w:sz="6" w:space="0" w:color="000001"/>
            </w:tcBorders>
            <w:shd w:fill="auto" w:val="clear"/>
            <w:vAlign w:val="bottom"/>
          </w:tcPr>
          <w:p>
            <w:pPr>
              <w:pStyle w:val="Compact"/>
              <w:spacing w:before="36" w:after="36"/>
              <w:jc w:val="left"/>
              <w:rPr/>
            </w:pPr>
            <w:r>
              <w:rPr/>
              <w:t>日期</w:t>
            </w:r>
          </w:p>
        </w:tc>
        <w:tc>
          <w:tcPr>
            <w:tcW w:w="960" w:type="dxa"/>
            <w:tcBorders>
              <w:bottom w:val="single" w:sz="6" w:space="0" w:color="000001"/>
              <w:insideH w:val="single" w:sz="6" w:space="0" w:color="000001"/>
            </w:tcBorders>
            <w:shd w:fill="auto" w:val="clear"/>
            <w:vAlign w:val="bottom"/>
          </w:tcPr>
          <w:p>
            <w:pPr>
              <w:pStyle w:val="Compact"/>
              <w:spacing w:before="36" w:after="36"/>
              <w:jc w:val="center"/>
              <w:rPr/>
            </w:pPr>
            <w:r>
              <w:rPr/>
              <w:t>行业前</w:t>
            </w:r>
            <w:r>
              <w:rPr/>
              <w:t>5</w:t>
            </w:r>
            <w:r>
              <w:rPr/>
              <w:t>占比</w:t>
            </w:r>
            <w:r>
              <w:rPr/>
              <w:t>%</w:t>
            </w:r>
          </w:p>
        </w:tc>
        <w:tc>
          <w:tcPr>
            <w:tcW w:w="960" w:type="dxa"/>
            <w:tcBorders>
              <w:bottom w:val="single" w:sz="6" w:space="0" w:color="000001"/>
              <w:insideH w:val="single" w:sz="6" w:space="0" w:color="000001"/>
            </w:tcBorders>
            <w:shd w:fill="auto" w:val="clear"/>
            <w:vAlign w:val="bottom"/>
          </w:tcPr>
          <w:p>
            <w:pPr>
              <w:pStyle w:val="Compact"/>
              <w:spacing w:before="36" w:after="36"/>
              <w:jc w:val="center"/>
              <w:rPr/>
            </w:pPr>
            <w:r>
              <w:rPr/>
              <w:t>排名</w:t>
            </w:r>
            <w:r>
              <w:rPr/>
              <w:t>%</w:t>
            </w:r>
          </w:p>
        </w:tc>
        <w:tc>
          <w:tcPr>
            <w:tcW w:w="960" w:type="dxa"/>
            <w:tcBorders>
              <w:bottom w:val="single" w:sz="6" w:space="0" w:color="000001"/>
              <w:insideH w:val="single" w:sz="6" w:space="0" w:color="000001"/>
            </w:tcBorders>
            <w:shd w:fill="auto" w:val="clear"/>
            <w:vAlign w:val="bottom"/>
          </w:tcPr>
          <w:p>
            <w:pPr>
              <w:pStyle w:val="Compact"/>
              <w:spacing w:before="36" w:after="36"/>
              <w:jc w:val="center"/>
              <w:rPr/>
            </w:pPr>
            <w:r>
              <w:rPr/>
              <w:t>平均集中度</w:t>
            </w:r>
          </w:p>
        </w:tc>
        <w:tc>
          <w:tcPr>
            <w:tcW w:w="960" w:type="dxa"/>
            <w:tcBorders>
              <w:bottom w:val="single" w:sz="6" w:space="0" w:color="000001"/>
              <w:insideH w:val="single" w:sz="6" w:space="0" w:color="000001"/>
            </w:tcBorders>
            <w:shd w:fill="auto" w:val="clear"/>
            <w:vAlign w:val="bottom"/>
          </w:tcPr>
          <w:p>
            <w:pPr>
              <w:pStyle w:val="Compact"/>
              <w:spacing w:before="36" w:after="36"/>
              <w:jc w:val="center"/>
              <w:rPr/>
            </w:pPr>
            <w:r>
              <w:rPr/>
              <w:t>排名</w:t>
            </w:r>
            <w:r>
              <w:rPr/>
              <w:t>%</w:t>
            </w:r>
          </w:p>
        </w:tc>
        <w:tc>
          <w:tcPr>
            <w:tcW w:w="960" w:type="dxa"/>
            <w:tcBorders>
              <w:bottom w:val="single" w:sz="6" w:space="0" w:color="000001"/>
              <w:insideH w:val="single" w:sz="6" w:space="0" w:color="000001"/>
            </w:tcBorders>
            <w:shd w:fill="auto" w:val="clear"/>
            <w:vAlign w:val="bottom"/>
          </w:tcPr>
          <w:p>
            <w:pPr>
              <w:pStyle w:val="Compact"/>
              <w:spacing w:before="36" w:after="36"/>
              <w:jc w:val="right"/>
              <w:rPr/>
            </w:pPr>
            <w:r>
              <w:rPr/>
              <w:t>PE</w:t>
            </w:r>
          </w:p>
        </w:tc>
        <w:tc>
          <w:tcPr>
            <w:tcW w:w="960" w:type="dxa"/>
            <w:tcBorders>
              <w:bottom w:val="single" w:sz="6" w:space="0" w:color="000001"/>
              <w:insideH w:val="single" w:sz="6" w:space="0" w:color="000001"/>
            </w:tcBorders>
            <w:shd w:fill="auto" w:val="clear"/>
            <w:vAlign w:val="bottom"/>
          </w:tcPr>
          <w:p>
            <w:pPr>
              <w:pStyle w:val="Compact"/>
              <w:spacing w:before="36" w:after="36"/>
              <w:jc w:val="center"/>
              <w:rPr/>
            </w:pPr>
            <w:r>
              <w:rPr/>
              <w:t>排名</w:t>
            </w:r>
            <w:r>
              <w:rPr/>
              <w:t>%</w:t>
            </w:r>
          </w:p>
        </w:tc>
        <w:tc>
          <w:tcPr>
            <w:tcW w:w="960" w:type="dxa"/>
            <w:tcBorders>
              <w:bottom w:val="single" w:sz="6" w:space="0" w:color="000001"/>
              <w:insideH w:val="single" w:sz="6" w:space="0" w:color="000001"/>
            </w:tcBorders>
            <w:shd w:fill="auto" w:val="clear"/>
            <w:vAlign w:val="bottom"/>
          </w:tcPr>
          <w:p>
            <w:pPr>
              <w:pStyle w:val="Compact"/>
              <w:spacing w:before="36" w:after="36"/>
              <w:jc w:val="right"/>
              <w:rPr/>
            </w:pPr>
            <w:r>
              <w:rPr/>
              <w:t>PB</w:t>
            </w:r>
          </w:p>
        </w:tc>
        <w:tc>
          <w:tcPr>
            <w:tcW w:w="960" w:type="dxa"/>
            <w:tcBorders>
              <w:bottom w:val="single" w:sz="6" w:space="0" w:color="000001"/>
              <w:insideH w:val="single" w:sz="6" w:space="0" w:color="000001"/>
            </w:tcBorders>
            <w:shd w:fill="auto" w:val="clear"/>
            <w:vAlign w:val="bottom"/>
          </w:tcPr>
          <w:p>
            <w:pPr>
              <w:pStyle w:val="Compact"/>
              <w:spacing w:before="36" w:after="36"/>
              <w:jc w:val="center"/>
              <w:rPr/>
            </w:pPr>
            <w:r>
              <w:rPr/>
              <w:t>排名</w:t>
            </w:r>
            <w:r>
              <w:rPr/>
              <w:t>%</w:t>
            </w:r>
          </w:p>
        </w:tc>
      </w:tr>
      <w:tr>
        <w:trPr/>
        <w:tc>
          <w:tcPr>
            <w:tcW w:w="959" w:type="dxa"/>
            <w:tcBorders/>
            <w:shd w:fill="auto" w:val="clear"/>
          </w:tcPr>
          <w:p>
            <w:pPr>
              <w:pStyle w:val="Compact"/>
              <w:spacing w:before="36" w:after="36"/>
              <w:jc w:val="left"/>
              <w:rPr/>
            </w:pPr>
            <w:r>
              <w:rPr/>
              <w:t>2015 Q2</w:t>
            </w:r>
          </w:p>
        </w:tc>
        <w:tc>
          <w:tcPr>
            <w:tcW w:w="960" w:type="dxa"/>
            <w:tcBorders/>
            <w:shd w:fill="auto" w:val="clear"/>
          </w:tcPr>
          <w:p>
            <w:pPr>
              <w:pStyle w:val="Compact"/>
              <w:spacing w:before="36" w:after="36"/>
              <w:jc w:val="center"/>
              <w:rPr/>
            </w:pPr>
            <w:r>
              <w:rPr/>
              <w:t>53.99</w:t>
            </w:r>
          </w:p>
        </w:tc>
        <w:tc>
          <w:tcPr>
            <w:tcW w:w="960" w:type="dxa"/>
            <w:tcBorders/>
            <w:shd w:fill="auto" w:val="clear"/>
          </w:tcPr>
          <w:p>
            <w:pPr>
              <w:pStyle w:val="Compact"/>
              <w:spacing w:before="36" w:after="36"/>
              <w:jc w:val="center"/>
              <w:rPr/>
            </w:pPr>
            <w:r>
              <w:rPr/>
              <w:t>28</w:t>
            </w:r>
          </w:p>
        </w:tc>
        <w:tc>
          <w:tcPr>
            <w:tcW w:w="960" w:type="dxa"/>
            <w:tcBorders/>
            <w:shd w:fill="auto" w:val="clear"/>
          </w:tcPr>
          <w:p>
            <w:pPr>
              <w:pStyle w:val="Compact"/>
              <w:spacing w:before="36" w:after="36"/>
              <w:jc w:val="center"/>
              <w:rPr/>
            </w:pPr>
            <w:r>
              <w:rPr/>
              <w:t>0.01</w:t>
            </w:r>
          </w:p>
        </w:tc>
        <w:tc>
          <w:tcPr>
            <w:tcW w:w="960" w:type="dxa"/>
            <w:tcBorders/>
            <w:shd w:fill="auto" w:val="clear"/>
          </w:tcPr>
          <w:p>
            <w:pPr>
              <w:pStyle w:val="Compact"/>
              <w:spacing w:before="36" w:after="36"/>
              <w:jc w:val="center"/>
              <w:rPr/>
            </w:pPr>
            <w:r>
              <w:rPr/>
              <w:t>97</w:t>
            </w:r>
          </w:p>
        </w:tc>
        <w:tc>
          <w:tcPr>
            <w:tcW w:w="960" w:type="dxa"/>
            <w:tcBorders/>
            <w:shd w:fill="auto" w:val="clear"/>
          </w:tcPr>
          <w:p>
            <w:pPr>
              <w:pStyle w:val="Compact"/>
              <w:spacing w:before="36" w:after="36"/>
              <w:jc w:val="right"/>
              <w:rPr/>
            </w:pPr>
            <w:r>
              <w:rPr/>
              <w:t>10.51</w:t>
            </w:r>
          </w:p>
        </w:tc>
        <w:tc>
          <w:tcPr>
            <w:tcW w:w="960" w:type="dxa"/>
            <w:tcBorders/>
            <w:shd w:fill="auto" w:val="clear"/>
          </w:tcPr>
          <w:p>
            <w:pPr>
              <w:pStyle w:val="Compact"/>
              <w:spacing w:before="36" w:after="36"/>
              <w:jc w:val="center"/>
              <w:rPr/>
            </w:pPr>
            <w:r>
              <w:rPr/>
              <w:t>97</w:t>
            </w:r>
          </w:p>
        </w:tc>
        <w:tc>
          <w:tcPr>
            <w:tcW w:w="960" w:type="dxa"/>
            <w:tcBorders/>
            <w:shd w:fill="auto" w:val="clear"/>
          </w:tcPr>
          <w:p>
            <w:pPr>
              <w:pStyle w:val="Compact"/>
              <w:spacing w:before="36" w:after="36"/>
              <w:jc w:val="right"/>
              <w:rPr/>
            </w:pPr>
            <w:r>
              <w:rPr/>
              <w:t>1.80</w:t>
            </w:r>
          </w:p>
        </w:tc>
        <w:tc>
          <w:tcPr>
            <w:tcW w:w="960" w:type="dxa"/>
            <w:tcBorders/>
            <w:shd w:fill="auto" w:val="clear"/>
          </w:tcPr>
          <w:p>
            <w:pPr>
              <w:pStyle w:val="Compact"/>
              <w:spacing w:before="36" w:after="36"/>
              <w:jc w:val="center"/>
              <w:rPr/>
            </w:pPr>
            <w:r>
              <w:rPr/>
              <w:t>98</w:t>
            </w:r>
          </w:p>
        </w:tc>
      </w:tr>
      <w:tr>
        <w:trPr/>
        <w:tc>
          <w:tcPr>
            <w:tcW w:w="959" w:type="dxa"/>
            <w:tcBorders/>
            <w:shd w:fill="auto" w:val="clear"/>
          </w:tcPr>
          <w:p>
            <w:pPr>
              <w:pStyle w:val="Compact"/>
              <w:spacing w:before="36" w:after="36"/>
              <w:jc w:val="left"/>
              <w:rPr/>
            </w:pPr>
            <w:r>
              <w:rPr/>
              <w:t>2015 Q4</w:t>
            </w:r>
          </w:p>
        </w:tc>
        <w:tc>
          <w:tcPr>
            <w:tcW w:w="960" w:type="dxa"/>
            <w:tcBorders/>
            <w:shd w:fill="auto" w:val="clear"/>
          </w:tcPr>
          <w:p>
            <w:pPr>
              <w:pStyle w:val="Compact"/>
              <w:spacing w:before="36" w:after="36"/>
              <w:jc w:val="center"/>
              <w:rPr/>
            </w:pPr>
            <w:r>
              <w:rPr/>
              <w:t>62.77</w:t>
            </w:r>
          </w:p>
        </w:tc>
        <w:tc>
          <w:tcPr>
            <w:tcW w:w="960" w:type="dxa"/>
            <w:tcBorders/>
            <w:shd w:fill="auto" w:val="clear"/>
          </w:tcPr>
          <w:p>
            <w:pPr>
              <w:pStyle w:val="Compact"/>
              <w:spacing w:before="36" w:after="36"/>
              <w:jc w:val="center"/>
              <w:rPr/>
            </w:pPr>
            <w:r>
              <w:rPr/>
              <w:t>14</w:t>
            </w:r>
          </w:p>
        </w:tc>
        <w:tc>
          <w:tcPr>
            <w:tcW w:w="960" w:type="dxa"/>
            <w:tcBorders/>
            <w:shd w:fill="auto" w:val="clear"/>
          </w:tcPr>
          <w:p>
            <w:pPr>
              <w:pStyle w:val="Compact"/>
              <w:spacing w:before="36" w:after="36"/>
              <w:jc w:val="center"/>
              <w:rPr/>
            </w:pPr>
            <w:r>
              <w:rPr/>
              <w:t>0.08</w:t>
            </w:r>
          </w:p>
        </w:tc>
        <w:tc>
          <w:tcPr>
            <w:tcW w:w="960" w:type="dxa"/>
            <w:tcBorders/>
            <w:shd w:fill="auto" w:val="clear"/>
          </w:tcPr>
          <w:p>
            <w:pPr>
              <w:pStyle w:val="Compact"/>
              <w:spacing w:before="36" w:after="36"/>
              <w:jc w:val="center"/>
              <w:rPr/>
            </w:pPr>
            <w:r>
              <w:rPr/>
              <w:t>64</w:t>
            </w:r>
          </w:p>
        </w:tc>
        <w:tc>
          <w:tcPr>
            <w:tcW w:w="960" w:type="dxa"/>
            <w:tcBorders/>
            <w:shd w:fill="auto" w:val="clear"/>
          </w:tcPr>
          <w:p>
            <w:pPr>
              <w:pStyle w:val="Compact"/>
              <w:spacing w:before="36" w:after="36"/>
              <w:jc w:val="right"/>
              <w:rPr/>
            </w:pPr>
            <w:r>
              <w:rPr/>
              <w:t>12.97</w:t>
            </w:r>
          </w:p>
        </w:tc>
        <w:tc>
          <w:tcPr>
            <w:tcW w:w="960" w:type="dxa"/>
            <w:tcBorders/>
            <w:shd w:fill="auto" w:val="clear"/>
          </w:tcPr>
          <w:p>
            <w:pPr>
              <w:pStyle w:val="Compact"/>
              <w:spacing w:before="36" w:after="36"/>
              <w:jc w:val="center"/>
              <w:rPr/>
            </w:pPr>
            <w:r>
              <w:rPr/>
              <w:t>92</w:t>
            </w:r>
          </w:p>
        </w:tc>
        <w:tc>
          <w:tcPr>
            <w:tcW w:w="960" w:type="dxa"/>
            <w:tcBorders/>
            <w:shd w:fill="auto" w:val="clear"/>
          </w:tcPr>
          <w:p>
            <w:pPr>
              <w:pStyle w:val="Compact"/>
              <w:spacing w:before="36" w:after="36"/>
              <w:jc w:val="right"/>
              <w:rPr/>
            </w:pPr>
            <w:r>
              <w:rPr/>
              <w:t>1.66</w:t>
            </w:r>
          </w:p>
        </w:tc>
        <w:tc>
          <w:tcPr>
            <w:tcW w:w="960" w:type="dxa"/>
            <w:tcBorders/>
            <w:shd w:fill="auto" w:val="clear"/>
          </w:tcPr>
          <w:p>
            <w:pPr>
              <w:pStyle w:val="Compact"/>
              <w:spacing w:before="36" w:after="36"/>
              <w:jc w:val="center"/>
              <w:rPr/>
            </w:pPr>
            <w:r>
              <w:rPr/>
              <w:t>95</w:t>
            </w:r>
          </w:p>
        </w:tc>
      </w:tr>
      <w:tr>
        <w:trPr/>
        <w:tc>
          <w:tcPr>
            <w:tcW w:w="959" w:type="dxa"/>
            <w:tcBorders/>
            <w:shd w:fill="auto" w:val="clear"/>
          </w:tcPr>
          <w:p>
            <w:pPr>
              <w:pStyle w:val="Compact"/>
              <w:spacing w:before="36" w:after="36"/>
              <w:jc w:val="left"/>
              <w:rPr/>
            </w:pPr>
            <w:r>
              <w:rPr/>
              <w:t>2016 Q2</w:t>
            </w:r>
          </w:p>
        </w:tc>
        <w:tc>
          <w:tcPr>
            <w:tcW w:w="960" w:type="dxa"/>
            <w:tcBorders/>
            <w:shd w:fill="auto" w:val="clear"/>
          </w:tcPr>
          <w:p>
            <w:pPr>
              <w:pStyle w:val="Compact"/>
              <w:spacing w:before="36" w:after="36"/>
              <w:jc w:val="center"/>
              <w:rPr/>
            </w:pPr>
            <w:r>
              <w:rPr/>
              <w:t>40.11</w:t>
            </w:r>
          </w:p>
        </w:tc>
        <w:tc>
          <w:tcPr>
            <w:tcW w:w="960" w:type="dxa"/>
            <w:tcBorders/>
            <w:shd w:fill="auto" w:val="clear"/>
          </w:tcPr>
          <w:p>
            <w:pPr>
              <w:pStyle w:val="Compact"/>
              <w:spacing w:before="36" w:after="36"/>
              <w:jc w:val="center"/>
              <w:rPr/>
            </w:pPr>
            <w:r>
              <w:rPr/>
              <w:t>40</w:t>
            </w:r>
          </w:p>
        </w:tc>
        <w:tc>
          <w:tcPr>
            <w:tcW w:w="960" w:type="dxa"/>
            <w:tcBorders/>
            <w:shd w:fill="auto" w:val="clear"/>
          </w:tcPr>
          <w:p>
            <w:pPr>
              <w:pStyle w:val="Compact"/>
              <w:spacing w:before="36" w:after="36"/>
              <w:jc w:val="center"/>
              <w:rPr/>
            </w:pPr>
            <w:r>
              <w:rPr/>
              <w:t>1.10</w:t>
            </w:r>
          </w:p>
        </w:tc>
        <w:tc>
          <w:tcPr>
            <w:tcW w:w="960" w:type="dxa"/>
            <w:tcBorders/>
            <w:shd w:fill="auto" w:val="clear"/>
          </w:tcPr>
          <w:p>
            <w:pPr>
              <w:pStyle w:val="Compact"/>
              <w:spacing w:before="36" w:after="36"/>
              <w:jc w:val="center"/>
              <w:rPr/>
            </w:pPr>
            <w:r>
              <w:rPr/>
              <w:t>10</w:t>
            </w:r>
          </w:p>
        </w:tc>
        <w:tc>
          <w:tcPr>
            <w:tcW w:w="960" w:type="dxa"/>
            <w:tcBorders/>
            <w:shd w:fill="auto" w:val="clear"/>
          </w:tcPr>
          <w:p>
            <w:pPr>
              <w:pStyle w:val="Compact"/>
              <w:spacing w:before="36" w:after="36"/>
              <w:jc w:val="right"/>
              <w:rPr/>
            </w:pPr>
            <w:r>
              <w:rPr/>
              <w:t>15.75</w:t>
            </w:r>
          </w:p>
        </w:tc>
        <w:tc>
          <w:tcPr>
            <w:tcW w:w="960" w:type="dxa"/>
            <w:tcBorders/>
            <w:shd w:fill="auto" w:val="clear"/>
          </w:tcPr>
          <w:p>
            <w:pPr>
              <w:pStyle w:val="Compact"/>
              <w:spacing w:before="36" w:after="36"/>
              <w:jc w:val="center"/>
              <w:rPr/>
            </w:pPr>
            <w:r>
              <w:rPr/>
              <w:t>84</w:t>
            </w:r>
          </w:p>
        </w:tc>
        <w:tc>
          <w:tcPr>
            <w:tcW w:w="960" w:type="dxa"/>
            <w:tcBorders/>
            <w:shd w:fill="auto" w:val="clear"/>
          </w:tcPr>
          <w:p>
            <w:pPr>
              <w:pStyle w:val="Compact"/>
              <w:spacing w:before="36" w:after="36"/>
              <w:jc w:val="right"/>
              <w:rPr/>
            </w:pPr>
            <w:r>
              <w:rPr/>
              <w:t>1.43</w:t>
            </w:r>
          </w:p>
        </w:tc>
        <w:tc>
          <w:tcPr>
            <w:tcW w:w="960" w:type="dxa"/>
            <w:tcBorders/>
            <w:shd w:fill="auto" w:val="clear"/>
          </w:tcPr>
          <w:p>
            <w:pPr>
              <w:pStyle w:val="Compact"/>
              <w:spacing w:before="36" w:after="36"/>
              <w:jc w:val="center"/>
              <w:rPr/>
            </w:pPr>
            <w:r>
              <w:rPr/>
              <w:t>93</w:t>
            </w:r>
          </w:p>
        </w:tc>
      </w:tr>
      <w:tr>
        <w:trPr/>
        <w:tc>
          <w:tcPr>
            <w:tcW w:w="959" w:type="dxa"/>
            <w:tcBorders/>
            <w:shd w:fill="auto" w:val="clear"/>
          </w:tcPr>
          <w:p>
            <w:pPr>
              <w:pStyle w:val="Compact"/>
              <w:spacing w:before="36" w:after="36"/>
              <w:jc w:val="left"/>
              <w:rPr/>
            </w:pPr>
            <w:r>
              <w:rPr/>
              <w:t>2016 Q4</w:t>
            </w:r>
          </w:p>
        </w:tc>
        <w:tc>
          <w:tcPr>
            <w:tcW w:w="960" w:type="dxa"/>
            <w:tcBorders/>
            <w:shd w:fill="auto" w:val="clear"/>
          </w:tcPr>
          <w:p>
            <w:pPr>
              <w:pStyle w:val="Compact"/>
              <w:spacing w:before="36" w:after="36"/>
              <w:jc w:val="center"/>
              <w:rPr/>
            </w:pPr>
            <w:r>
              <w:rPr/>
              <w:t>51.35</w:t>
            </w:r>
          </w:p>
        </w:tc>
        <w:tc>
          <w:tcPr>
            <w:tcW w:w="960" w:type="dxa"/>
            <w:tcBorders/>
            <w:shd w:fill="auto" w:val="clear"/>
          </w:tcPr>
          <w:p>
            <w:pPr>
              <w:pStyle w:val="Compact"/>
              <w:spacing w:before="36" w:after="36"/>
              <w:jc w:val="center"/>
              <w:rPr/>
            </w:pPr>
            <w:r>
              <w:rPr/>
              <w:t>30</w:t>
            </w:r>
          </w:p>
        </w:tc>
        <w:tc>
          <w:tcPr>
            <w:tcW w:w="960" w:type="dxa"/>
            <w:tcBorders/>
            <w:shd w:fill="auto" w:val="clear"/>
          </w:tcPr>
          <w:p>
            <w:pPr>
              <w:pStyle w:val="Compact"/>
              <w:spacing w:before="36" w:after="36"/>
              <w:jc w:val="center"/>
              <w:rPr/>
            </w:pPr>
            <w:r>
              <w:rPr/>
              <w:t>1.22</w:t>
            </w:r>
          </w:p>
        </w:tc>
        <w:tc>
          <w:tcPr>
            <w:tcW w:w="960" w:type="dxa"/>
            <w:tcBorders/>
            <w:shd w:fill="auto" w:val="clear"/>
          </w:tcPr>
          <w:p>
            <w:pPr>
              <w:pStyle w:val="Compact"/>
              <w:spacing w:before="36" w:after="36"/>
              <w:jc w:val="center"/>
              <w:rPr/>
            </w:pPr>
            <w:r>
              <w:rPr/>
              <w:t>7</w:t>
            </w:r>
          </w:p>
        </w:tc>
        <w:tc>
          <w:tcPr>
            <w:tcW w:w="960" w:type="dxa"/>
            <w:tcBorders/>
            <w:shd w:fill="auto" w:val="clear"/>
          </w:tcPr>
          <w:p>
            <w:pPr>
              <w:pStyle w:val="Compact"/>
              <w:spacing w:before="36" w:after="36"/>
              <w:jc w:val="right"/>
              <w:rPr/>
            </w:pPr>
            <w:r>
              <w:rPr/>
              <w:t>17.77</w:t>
            </w:r>
          </w:p>
        </w:tc>
        <w:tc>
          <w:tcPr>
            <w:tcW w:w="960" w:type="dxa"/>
            <w:tcBorders/>
            <w:shd w:fill="auto" w:val="clear"/>
          </w:tcPr>
          <w:p>
            <w:pPr>
              <w:pStyle w:val="Compact"/>
              <w:spacing w:before="36" w:after="36"/>
              <w:jc w:val="center"/>
              <w:rPr/>
            </w:pPr>
            <w:r>
              <w:rPr/>
              <w:t>69</w:t>
            </w:r>
          </w:p>
        </w:tc>
        <w:tc>
          <w:tcPr>
            <w:tcW w:w="960" w:type="dxa"/>
            <w:tcBorders/>
            <w:shd w:fill="auto" w:val="clear"/>
          </w:tcPr>
          <w:p>
            <w:pPr>
              <w:pStyle w:val="Compact"/>
              <w:spacing w:before="36" w:after="36"/>
              <w:jc w:val="right"/>
              <w:rPr/>
            </w:pPr>
            <w:r>
              <w:rPr/>
              <w:t>1.34</w:t>
            </w:r>
          </w:p>
        </w:tc>
        <w:tc>
          <w:tcPr>
            <w:tcW w:w="960" w:type="dxa"/>
            <w:tcBorders/>
            <w:shd w:fill="auto" w:val="clear"/>
          </w:tcPr>
          <w:p>
            <w:pPr>
              <w:pStyle w:val="Compact"/>
              <w:spacing w:before="36" w:after="36"/>
              <w:jc w:val="center"/>
              <w:rPr/>
            </w:pPr>
            <w:r>
              <w:rPr/>
              <w:t>88</w:t>
            </w:r>
          </w:p>
        </w:tc>
      </w:tr>
    </w:tbl>
    <w:p>
      <w:pPr>
        <w:pStyle w:val="TextBody"/>
        <w:rPr/>
      </w:pPr>
      <w:r>
        <w:rPr/>
        <w:t>不出意料的，该基金的交易风格任然是以低换手、长持有期、低</w:t>
      </w:r>
      <w:r>
        <w:rPr/>
        <w:t>PE</w:t>
      </w:r>
      <w:r>
        <w:rPr/>
        <w:t>以及低</w:t>
      </w:r>
      <w:r>
        <w:rPr/>
        <w:t>PB</w:t>
      </w:r>
      <w:r>
        <w:rPr/>
        <w:t>为显著特点。</w:t>
      </w:r>
    </w:p>
    <w:p>
      <w:pPr>
        <w:pStyle w:val="Heading3"/>
        <w:rPr/>
      </w:pPr>
      <w:bookmarkStart w:id="3" w:name="主动指数"/>
      <w:bookmarkEnd w:id="3"/>
      <w:r>
        <w:rPr/>
        <w:t>主动指数</w:t>
      </w:r>
    </w:p>
    <w:p>
      <w:pPr>
        <w:pStyle w:val="FirstParagraph"/>
        <w:rPr/>
      </w:pPr>
      <w:r>
        <w:rPr/>
        <w:t>我们用行业累计偏离指数代表该基金主动管理的活跃度（在</w:t>
      </w:r>
      <w:r>
        <w:rPr/>
        <w:t>Kacperczyk</w:t>
      </w:r>
      <w:r>
        <w:rPr/>
        <w:t>等的研究中，这个指标又被成为行业集中度）。我们的逻辑根据建立在弱有效市场指数代表了整个市场的“简单”共识，大量的“</w:t>
      </w:r>
      <w:r>
        <w:rPr/>
        <w:t>smart beta”</w:t>
      </w:r>
      <w:r>
        <w:rPr/>
        <w:t>的机会留给了基金管理人，在追寻“</w:t>
      </w:r>
      <w:r>
        <w:rPr/>
        <w:t>smart beta”</w:t>
      </w:r>
      <w:r>
        <w:rPr/>
        <w:t>的过程中，突破原有的行业布局不可避免。而这种突破正可以被行业累计偏离指数来捕捉。但是，主动指数并非越大越好，毕竟市场是弱有效的，完全忽略市场的共识——哪怕是“简单”共识——也是唐吉坷德挑战风车。实际上有研究表明，基金业绩表现与</w:t>
      </w:r>
      <w:r>
        <w:rPr/>
        <w:t>Kacperczyk</w:t>
      </w:r>
      <w:r>
        <w:rPr/>
        <w:t>的行业集中度呈现负相关，即行业集中度越大，基金表现越差。我们的分析表明，这种联系在中国市场不是简单照搬的，对于极端的行业集中的情形，确实行业集中度越高，基金平均表现越差，但是在一个温和的区间中，这样的联系是不存在的。当然这个主动指数可以进一步的拓展到对包含基金经理追求</w:t>
      </w:r>
      <w:r>
        <w:rPr/>
        <w:t xml:space="preserve">alpha </w:t>
      </w:r>
      <w:r>
        <w:rPr/>
        <w:t>的描述，这是我们下一步的工作方向之一。</w:t>
      </w:r>
    </w:p>
    <w:p>
      <w:pPr>
        <w:pStyle w:val="TextBody"/>
        <w:rPr/>
      </w:pPr>
      <w:r>
        <w:rPr/>
        <w:t>以其管理的汇丰晋信大盘基金为说明，从创建到其接收管理之前，该基金的平均主动管理活跃度为</w:t>
      </w:r>
      <w:r>
        <w:rPr/>
        <w:t>36.7%</w:t>
      </w:r>
      <w:r>
        <w:rPr/>
        <w:t>，呈现非常激进的主动管理态势；其接管基金后平均主动管理活跃度为</w:t>
      </w:r>
      <w:r>
        <w:rPr/>
        <w:t>18.3%</w:t>
      </w:r>
      <w:r>
        <w:rPr/>
        <w:t>，表现为积极但是有限度的主动管理。在其管理的同期，整个基金行业的同类型基金的主动管理活跃指数为</w:t>
      </w:r>
      <w:r>
        <w:rPr/>
        <w:t>26.8%</w:t>
      </w:r>
      <w:r>
        <w:rPr/>
        <w:t>。因此，对于丘栋荣的管理风格可以定义为稳健的主动管理型。</w:t>
      </w:r>
    </w:p>
    <w:p>
      <w:pPr>
        <w:pStyle w:val="TextBody"/>
        <w:rPr/>
      </w:pPr>
      <w:r>
        <w:rPr/>
        <w:t>鉴于丘栋荣能够在相对稳健的资产管理中获得平均</w:t>
      </w:r>
      <w:r>
        <w:rPr/>
        <w:t>1.43</w:t>
      </w:r>
      <w:r>
        <w:rPr/>
        <w:t>的夏普率（即付出一个单位的风险获得</w:t>
      </w:r>
      <w:r>
        <w:rPr/>
        <w:t>1.43</w:t>
      </w:r>
      <w:r>
        <w:rPr/>
        <w:t>个单位的超额收益率），我们有必要对于他的资产管理能力做一次细致的分析。</w:t>
      </w:r>
    </w:p>
    <w:p>
      <w:pPr>
        <w:pStyle w:val="Heading2"/>
        <w:rPr/>
      </w:pPr>
      <w:bookmarkStart w:id="4" w:name="能力评价"/>
      <w:bookmarkEnd w:id="4"/>
      <w:r>
        <w:rPr/>
        <w:t>能力评价</w:t>
      </w:r>
    </w:p>
    <w:p>
      <w:pPr>
        <w:pStyle w:val="Heading3"/>
        <w:rPr/>
      </w:pPr>
      <w:bookmarkStart w:id="5" w:name="几乎无效的大类资产配置"/>
      <w:bookmarkEnd w:id="5"/>
      <w:r>
        <w:rPr/>
        <w:t>几乎无效的大类资产配置</w:t>
      </w:r>
    </w:p>
    <w:p>
      <w:pPr>
        <w:pStyle w:val="FirstParagraph"/>
        <w:rPr/>
      </w:pPr>
      <w:r>
        <w:rPr/>
        <w:t>从下图可以看出，自从</w:t>
      </w:r>
      <w:r>
        <w:rPr/>
        <w:t>2014</w:t>
      </w:r>
      <w:r>
        <w:rPr/>
        <w:t>年</w:t>
      </w:r>
      <w:r>
        <w:rPr/>
        <w:t>9</w:t>
      </w:r>
      <w:r>
        <w:rPr/>
        <w:t>月接手以来，丘栋荣在产品汇丰晋信大盘中讲股票仓位控制在</w:t>
      </w:r>
      <w:r>
        <w:rPr/>
        <w:t>90%</w:t>
      </w:r>
      <w:r>
        <w:rPr/>
        <w:t>左右，而另外一个产品汇丰晋信双核策略股票仓位则在</w:t>
      </w:r>
      <w:r>
        <w:rPr/>
        <w:t>60%-90%</w:t>
      </w:r>
      <w:r>
        <w:rPr/>
        <w:t xml:space="preserve">之间大幅变换。 </w:t>
      </w:r>
      <w:r>
        <w:rPr/>
        <w:drawing>
          <wp:inline distT="0" distB="0" distL="114935" distR="114935">
            <wp:extent cx="5334000" cy="17780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334000" cy="1778000"/>
                    </a:xfrm>
                    <a:prstGeom prst="rect">
                      <a:avLst/>
                    </a:prstGeom>
                  </pic:spPr>
                </pic:pic>
              </a:graphicData>
            </a:graphic>
          </wp:inline>
        </w:drawing>
      </w:r>
      <w:r>
        <w:rPr/>
        <w:t xml:space="preserve"> 我们通过计算两支不同的基金的仓位调整的相关性来探究这两种看似不同的仓位调整中是否具备某种潜在的逻辑。如果基金经理对于大类资产的预期收益有明确的判断，在同样的投资节点上，在不同基金产品的仓位控制上应该具备较高的一致性——尽管由于不同基金条款的限制而不能采用相同的资产配置策略，但是它们的调整方向应该是一致的。以上两支基金中仓位控制方法的相关性为</w:t>
      </w:r>
      <w:r>
        <w:rPr/>
        <w:t>0.32</w:t>
      </w:r>
      <w:r>
        <w:rPr/>
        <w:t>。虽然也是正相关，代表这两只基金的仓位控制有着某种同方向上相关性——同时增加或者同时减少。但是</w:t>
      </w:r>
      <w:r>
        <w:rPr/>
        <w:t>0.32</w:t>
      </w:r>
      <w:r>
        <w:rPr/>
        <w:t>的正相关性毕竟是相对弱的，尤其考虑到这两支基金的规模相近，我们可以推断丘栋荣在这两只基金的仓位控制上恐怕没有一个“自上而下”的一致的思维视角，更多的当是“自下而上”的择股操作自然而然形成的仓位水平。</w:t>
      </w:r>
    </w:p>
    <w:p>
      <w:pPr>
        <w:pStyle w:val="TextBody"/>
        <w:rPr/>
      </w:pPr>
      <w:r>
        <w:rPr/>
        <w:t>进一步的计算大类资产配置带来的超额收益。</w:t>
      </w:r>
    </w:p>
    <w:p>
      <w:pPr>
        <w:pStyle w:val="TableCaption"/>
        <w:rPr/>
      </w:pPr>
      <w:r>
        <w:rPr/>
        <w:t>汇丰晋信大盘</w:t>
      </w:r>
      <w:r>
        <w:rPr/>
        <w:t>A</w:t>
      </w:r>
      <w:r>
        <w:rPr/>
        <w:t>大类资产配置能力统计</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319"/>
        <w:gridCol w:w="4320"/>
      </w:tblGrid>
      <w:tr>
        <w:trPr>
          <w:cnfStyle w:firstRow="1"/>
        </w:trPr>
        <w:tc>
          <w:tcPr>
            <w:tcW w:w="4319" w:type="dxa"/>
            <w:tcBorders>
              <w:bottom w:val="single" w:sz="6" w:space="0" w:color="000001"/>
              <w:insideH w:val="single" w:sz="6" w:space="0" w:color="000001"/>
            </w:tcBorders>
            <w:shd w:fill="auto" w:val="clear"/>
            <w:vAlign w:val="bottom"/>
          </w:tcPr>
          <w:p>
            <w:pPr>
              <w:pStyle w:val="Compact"/>
              <w:spacing w:before="36" w:after="36"/>
              <w:jc w:val="left"/>
              <w:rPr/>
            </w:pPr>
            <w:r>
              <w:rPr/>
              <w:t>日期</w:t>
            </w:r>
          </w:p>
        </w:tc>
        <w:tc>
          <w:tcPr>
            <w:tcW w:w="4320" w:type="dxa"/>
            <w:tcBorders>
              <w:bottom w:val="single" w:sz="6" w:space="0" w:color="000001"/>
              <w:insideH w:val="single" w:sz="6" w:space="0" w:color="000001"/>
            </w:tcBorders>
            <w:shd w:fill="auto" w:val="clear"/>
            <w:vAlign w:val="bottom"/>
          </w:tcPr>
          <w:p>
            <w:pPr>
              <w:pStyle w:val="Compact"/>
              <w:spacing w:before="36" w:after="36"/>
              <w:jc w:val="center"/>
              <w:rPr/>
            </w:pPr>
            <w:r>
              <w:rPr/>
              <w:t>大类资产配置超额贡献</w:t>
            </w:r>
            <w:r>
              <w:rPr/>
              <w:t>(%)</w:t>
            </w:r>
          </w:p>
        </w:tc>
      </w:tr>
      <w:tr>
        <w:trPr/>
        <w:tc>
          <w:tcPr>
            <w:tcW w:w="4319" w:type="dxa"/>
            <w:tcBorders/>
            <w:shd w:fill="auto" w:val="clear"/>
          </w:tcPr>
          <w:p>
            <w:pPr>
              <w:pStyle w:val="Compact"/>
              <w:spacing w:before="36" w:after="36"/>
              <w:jc w:val="left"/>
              <w:rPr/>
            </w:pPr>
            <w:r>
              <w:rPr/>
              <w:t>2014 Q3</w:t>
            </w:r>
          </w:p>
        </w:tc>
        <w:tc>
          <w:tcPr>
            <w:tcW w:w="4320" w:type="dxa"/>
            <w:tcBorders/>
            <w:shd w:fill="auto" w:val="clear"/>
          </w:tcPr>
          <w:p>
            <w:pPr>
              <w:pStyle w:val="Compact"/>
              <w:spacing w:before="36" w:after="36"/>
              <w:jc w:val="center"/>
              <w:rPr/>
            </w:pPr>
            <w:r>
              <w:rPr/>
              <w:t>0.0920</w:t>
            </w:r>
          </w:p>
        </w:tc>
      </w:tr>
      <w:tr>
        <w:trPr/>
        <w:tc>
          <w:tcPr>
            <w:tcW w:w="4319" w:type="dxa"/>
            <w:tcBorders/>
            <w:shd w:fill="auto" w:val="clear"/>
          </w:tcPr>
          <w:p>
            <w:pPr>
              <w:pStyle w:val="Compact"/>
              <w:spacing w:before="36" w:after="36"/>
              <w:jc w:val="left"/>
              <w:rPr/>
            </w:pPr>
            <w:r>
              <w:rPr/>
              <w:t>2014 Q4</w:t>
            </w:r>
          </w:p>
        </w:tc>
        <w:tc>
          <w:tcPr>
            <w:tcW w:w="4320" w:type="dxa"/>
            <w:tcBorders/>
            <w:shd w:fill="auto" w:val="clear"/>
          </w:tcPr>
          <w:p>
            <w:pPr>
              <w:pStyle w:val="Compact"/>
              <w:spacing w:before="36" w:after="36"/>
              <w:jc w:val="center"/>
              <w:rPr/>
            </w:pPr>
            <w:r>
              <w:rPr/>
              <w:t>1.3971</w:t>
            </w:r>
          </w:p>
        </w:tc>
      </w:tr>
      <w:tr>
        <w:trPr/>
        <w:tc>
          <w:tcPr>
            <w:tcW w:w="4319" w:type="dxa"/>
            <w:tcBorders/>
            <w:shd w:fill="auto" w:val="clear"/>
          </w:tcPr>
          <w:p>
            <w:pPr>
              <w:pStyle w:val="Compact"/>
              <w:spacing w:before="36" w:after="36"/>
              <w:jc w:val="left"/>
              <w:rPr/>
            </w:pPr>
            <w:r>
              <w:rPr/>
              <w:t>2015 Q1</w:t>
            </w:r>
          </w:p>
        </w:tc>
        <w:tc>
          <w:tcPr>
            <w:tcW w:w="4320" w:type="dxa"/>
            <w:tcBorders/>
            <w:shd w:fill="auto" w:val="clear"/>
          </w:tcPr>
          <w:p>
            <w:pPr>
              <w:pStyle w:val="Compact"/>
              <w:spacing w:before="36" w:after="36"/>
              <w:jc w:val="center"/>
              <w:rPr/>
            </w:pPr>
            <w:r>
              <w:rPr/>
              <w:t>0.5255</w:t>
            </w:r>
          </w:p>
        </w:tc>
      </w:tr>
      <w:tr>
        <w:trPr/>
        <w:tc>
          <w:tcPr>
            <w:tcW w:w="4319" w:type="dxa"/>
            <w:tcBorders/>
            <w:shd w:fill="auto" w:val="clear"/>
          </w:tcPr>
          <w:p>
            <w:pPr>
              <w:pStyle w:val="Compact"/>
              <w:spacing w:before="36" w:after="36"/>
              <w:jc w:val="left"/>
              <w:rPr/>
            </w:pPr>
            <w:r>
              <w:rPr/>
              <w:t>2015 Q2</w:t>
            </w:r>
          </w:p>
        </w:tc>
        <w:tc>
          <w:tcPr>
            <w:tcW w:w="4320" w:type="dxa"/>
            <w:tcBorders/>
            <w:shd w:fill="auto" w:val="clear"/>
          </w:tcPr>
          <w:p>
            <w:pPr>
              <w:pStyle w:val="Compact"/>
              <w:spacing w:before="36" w:after="36"/>
              <w:jc w:val="center"/>
              <w:rPr/>
            </w:pPr>
            <w:r>
              <w:rPr/>
              <w:t>0.3238</w:t>
            </w:r>
          </w:p>
        </w:tc>
      </w:tr>
      <w:tr>
        <w:trPr/>
        <w:tc>
          <w:tcPr>
            <w:tcW w:w="4319" w:type="dxa"/>
            <w:tcBorders/>
            <w:shd w:fill="auto" w:val="clear"/>
          </w:tcPr>
          <w:p>
            <w:pPr>
              <w:pStyle w:val="Compact"/>
              <w:spacing w:before="36" w:after="36"/>
              <w:jc w:val="left"/>
              <w:rPr/>
            </w:pPr>
            <w:r>
              <w:rPr/>
              <w:t>2015 Q3</w:t>
            </w:r>
          </w:p>
        </w:tc>
        <w:tc>
          <w:tcPr>
            <w:tcW w:w="4320" w:type="dxa"/>
            <w:tcBorders/>
            <w:shd w:fill="auto" w:val="clear"/>
          </w:tcPr>
          <w:p>
            <w:pPr>
              <w:pStyle w:val="Compact"/>
              <w:spacing w:before="36" w:after="36"/>
              <w:jc w:val="center"/>
              <w:rPr/>
            </w:pPr>
            <w:r>
              <w:rPr/>
              <w:t>-0.5712</w:t>
            </w:r>
          </w:p>
        </w:tc>
      </w:tr>
      <w:tr>
        <w:trPr/>
        <w:tc>
          <w:tcPr>
            <w:tcW w:w="4319" w:type="dxa"/>
            <w:tcBorders/>
            <w:shd w:fill="auto" w:val="clear"/>
          </w:tcPr>
          <w:p>
            <w:pPr>
              <w:pStyle w:val="Compact"/>
              <w:spacing w:before="36" w:after="36"/>
              <w:jc w:val="left"/>
              <w:rPr/>
            </w:pPr>
            <w:r>
              <w:rPr/>
              <w:t>2015 Q4</w:t>
            </w:r>
          </w:p>
        </w:tc>
        <w:tc>
          <w:tcPr>
            <w:tcW w:w="4320" w:type="dxa"/>
            <w:tcBorders/>
            <w:shd w:fill="auto" w:val="clear"/>
          </w:tcPr>
          <w:p>
            <w:pPr>
              <w:pStyle w:val="Compact"/>
              <w:spacing w:before="36" w:after="36"/>
              <w:jc w:val="center"/>
              <w:rPr/>
            </w:pPr>
            <w:r>
              <w:rPr/>
              <w:t>0.2017</w:t>
            </w:r>
          </w:p>
        </w:tc>
      </w:tr>
      <w:tr>
        <w:trPr/>
        <w:tc>
          <w:tcPr>
            <w:tcW w:w="4319" w:type="dxa"/>
            <w:tcBorders/>
            <w:shd w:fill="auto" w:val="clear"/>
          </w:tcPr>
          <w:p>
            <w:pPr>
              <w:pStyle w:val="Compact"/>
              <w:spacing w:before="36" w:after="36"/>
              <w:jc w:val="left"/>
              <w:rPr/>
            </w:pPr>
            <w:r>
              <w:rPr/>
              <w:t>2016 Q1</w:t>
            </w:r>
          </w:p>
        </w:tc>
        <w:tc>
          <w:tcPr>
            <w:tcW w:w="4320" w:type="dxa"/>
            <w:tcBorders/>
            <w:shd w:fill="auto" w:val="clear"/>
          </w:tcPr>
          <w:p>
            <w:pPr>
              <w:pStyle w:val="Compact"/>
              <w:spacing w:before="36" w:after="36"/>
              <w:jc w:val="center"/>
              <w:rPr/>
            </w:pPr>
            <w:r>
              <w:rPr/>
              <w:t>-0.4510</w:t>
            </w:r>
          </w:p>
        </w:tc>
      </w:tr>
      <w:tr>
        <w:trPr/>
        <w:tc>
          <w:tcPr>
            <w:tcW w:w="4319" w:type="dxa"/>
            <w:tcBorders/>
            <w:shd w:fill="auto" w:val="clear"/>
          </w:tcPr>
          <w:p>
            <w:pPr>
              <w:pStyle w:val="Compact"/>
              <w:spacing w:before="36" w:after="36"/>
              <w:jc w:val="left"/>
              <w:rPr/>
            </w:pPr>
            <w:r>
              <w:rPr/>
              <w:t>2016 Q2</w:t>
            </w:r>
          </w:p>
        </w:tc>
        <w:tc>
          <w:tcPr>
            <w:tcW w:w="4320" w:type="dxa"/>
            <w:tcBorders/>
            <w:shd w:fill="auto" w:val="clear"/>
          </w:tcPr>
          <w:p>
            <w:pPr>
              <w:pStyle w:val="Compact"/>
              <w:spacing w:before="36" w:after="36"/>
              <w:jc w:val="center"/>
              <w:rPr/>
            </w:pPr>
            <w:r>
              <w:rPr/>
              <w:t>-0.0578</w:t>
            </w:r>
          </w:p>
        </w:tc>
      </w:tr>
      <w:tr>
        <w:trPr/>
        <w:tc>
          <w:tcPr>
            <w:tcW w:w="4319" w:type="dxa"/>
            <w:tcBorders/>
            <w:shd w:fill="auto" w:val="clear"/>
          </w:tcPr>
          <w:p>
            <w:pPr>
              <w:pStyle w:val="Compact"/>
              <w:spacing w:before="36" w:after="36"/>
              <w:jc w:val="left"/>
              <w:rPr/>
            </w:pPr>
            <w:r>
              <w:rPr/>
              <w:t>2016 Q3</w:t>
            </w:r>
          </w:p>
        </w:tc>
        <w:tc>
          <w:tcPr>
            <w:tcW w:w="4320" w:type="dxa"/>
            <w:tcBorders/>
            <w:shd w:fill="auto" w:val="clear"/>
          </w:tcPr>
          <w:p>
            <w:pPr>
              <w:pStyle w:val="Compact"/>
              <w:spacing w:before="36" w:after="36"/>
              <w:jc w:val="center"/>
              <w:rPr/>
            </w:pPr>
            <w:r>
              <w:rPr/>
              <w:t>0.0528</w:t>
            </w:r>
          </w:p>
        </w:tc>
      </w:tr>
      <w:tr>
        <w:trPr/>
        <w:tc>
          <w:tcPr>
            <w:tcW w:w="4319" w:type="dxa"/>
            <w:tcBorders/>
            <w:shd w:fill="auto" w:val="clear"/>
          </w:tcPr>
          <w:p>
            <w:pPr>
              <w:pStyle w:val="Compact"/>
              <w:spacing w:before="36" w:after="36"/>
              <w:jc w:val="left"/>
              <w:rPr/>
            </w:pPr>
            <w:r>
              <w:rPr/>
              <w:t>2016 Q4</w:t>
            </w:r>
          </w:p>
        </w:tc>
        <w:tc>
          <w:tcPr>
            <w:tcW w:w="4320" w:type="dxa"/>
            <w:tcBorders/>
            <w:shd w:fill="auto" w:val="clear"/>
          </w:tcPr>
          <w:p>
            <w:pPr>
              <w:pStyle w:val="Compact"/>
              <w:spacing w:before="36" w:after="36"/>
              <w:jc w:val="center"/>
              <w:rPr/>
            </w:pPr>
            <w:r>
              <w:rPr/>
              <w:t>-0.0614</w:t>
            </w:r>
          </w:p>
        </w:tc>
      </w:tr>
      <w:tr>
        <w:trPr/>
        <w:tc>
          <w:tcPr>
            <w:tcW w:w="4319" w:type="dxa"/>
            <w:tcBorders/>
            <w:shd w:fill="auto" w:val="clear"/>
          </w:tcPr>
          <w:p>
            <w:pPr>
              <w:pStyle w:val="Compact"/>
              <w:spacing w:before="36" w:after="36"/>
              <w:jc w:val="left"/>
              <w:rPr/>
            </w:pPr>
            <w:r>
              <w:rPr/>
              <w:t>2017 Q1</w:t>
            </w:r>
          </w:p>
        </w:tc>
        <w:tc>
          <w:tcPr>
            <w:tcW w:w="4320" w:type="dxa"/>
            <w:tcBorders/>
            <w:shd w:fill="auto" w:val="clear"/>
          </w:tcPr>
          <w:p>
            <w:pPr>
              <w:pStyle w:val="Compact"/>
              <w:spacing w:before="36" w:after="36"/>
              <w:jc w:val="center"/>
              <w:rPr/>
            </w:pPr>
            <w:r>
              <w:rPr/>
              <w:t>0.0712</w:t>
            </w:r>
          </w:p>
        </w:tc>
      </w:tr>
      <w:tr>
        <w:trPr>
          <w:cnfStyle w:firstRow="1"/>
        </w:trPr>
        <w:tc>
          <w:tcPr>
            <w:tcW w:w="4319" w:type="dxa"/>
            <w:tcBorders>
              <w:bottom w:val="single" w:sz="6" w:space="0" w:color="000001"/>
              <w:insideH w:val="single" w:sz="6" w:space="0" w:color="000001"/>
            </w:tcBorders>
            <w:shd w:fill="auto" w:val="clear"/>
            <w:vAlign w:val="bottom"/>
          </w:tcPr>
          <w:p>
            <w:pPr>
              <w:pStyle w:val="Compact"/>
              <w:spacing w:before="36" w:after="36"/>
              <w:jc w:val="center"/>
              <w:rPr/>
            </w:pPr>
            <w:r>
              <w:rPr/>
              <w:t>平均超额贡献</w:t>
            </w:r>
            <w:r>
              <w:rPr/>
              <w:t>%</w:t>
            </w:r>
          </w:p>
        </w:tc>
        <w:tc>
          <w:tcPr>
            <w:tcW w:w="4320" w:type="dxa"/>
            <w:tcBorders>
              <w:bottom w:val="single" w:sz="6" w:space="0" w:color="000001"/>
              <w:insideH w:val="single" w:sz="6" w:space="0" w:color="000001"/>
            </w:tcBorders>
            <w:shd w:fill="auto" w:val="clear"/>
            <w:vAlign w:val="bottom"/>
          </w:tcPr>
          <w:p>
            <w:pPr>
              <w:pStyle w:val="Compact"/>
              <w:spacing w:before="36" w:after="36"/>
              <w:jc w:val="left"/>
              <w:rPr/>
            </w:pPr>
            <w:r>
              <w:rPr/>
              <w:t>95%</w:t>
            </w:r>
            <w:r>
              <w:rPr/>
              <w:t>置信区间</w:t>
            </w:r>
          </w:p>
        </w:tc>
      </w:tr>
      <w:tr>
        <w:trPr/>
        <w:tc>
          <w:tcPr>
            <w:tcW w:w="4319" w:type="dxa"/>
            <w:tcBorders/>
            <w:shd w:fill="auto" w:val="clear"/>
          </w:tcPr>
          <w:p>
            <w:pPr>
              <w:pStyle w:val="Compact"/>
              <w:spacing w:before="36" w:after="36"/>
              <w:jc w:val="center"/>
              <w:rPr/>
            </w:pPr>
            <w:r>
              <w:rPr/>
              <w:t>0.14</w:t>
            </w:r>
          </w:p>
        </w:tc>
        <w:tc>
          <w:tcPr>
            <w:tcW w:w="4320" w:type="dxa"/>
            <w:tcBorders/>
            <w:shd w:fill="auto" w:val="clear"/>
          </w:tcPr>
          <w:p>
            <w:pPr>
              <w:pStyle w:val="Compact"/>
              <w:spacing w:before="36" w:after="36"/>
              <w:jc w:val="left"/>
              <w:rPr/>
            </w:pPr>
            <w:r>
              <w:rPr/>
            </w:r>
            <m:oMath xmlns:m="http://schemas.openxmlformats.org/officeDocument/2006/math"/>
          </w:p>
        </w:tc>
      </w:tr>
    </w:tbl>
    <w:p>
      <w:pPr>
        <w:pStyle w:val="TextBody"/>
        <w:rPr/>
      </w:pPr>
      <w:r>
        <w:rPr/>
        <w:t xml:space="preserve">统计显示，在汇丰晋信大盘这支基金的管理上，虽然每季度平均取得 </w:t>
      </w:r>
      <w:r>
        <w:rPr/>
        <w:t xml:space="preserve">0.14% </w:t>
      </w:r>
      <w:r>
        <w:rPr/>
        <w:t>的配置收益，但是统计意义上并不显著。因此丘栋荣并没有显示出大类资产配置的能力。</w:t>
      </w:r>
    </w:p>
    <w:p>
      <w:pPr>
        <w:pStyle w:val="TableCaption"/>
        <w:rPr/>
      </w:pPr>
      <w:r>
        <w:rPr/>
        <w:t>汇丰晋信双核策略大类资产配置能力统计</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319"/>
        <w:gridCol w:w="4320"/>
      </w:tblGrid>
      <w:tr>
        <w:trPr>
          <w:cnfStyle w:firstRow="1"/>
        </w:trPr>
        <w:tc>
          <w:tcPr>
            <w:tcW w:w="4319" w:type="dxa"/>
            <w:tcBorders>
              <w:bottom w:val="single" w:sz="6" w:space="0" w:color="000001"/>
              <w:insideH w:val="single" w:sz="6" w:space="0" w:color="000001"/>
            </w:tcBorders>
            <w:shd w:fill="auto" w:val="clear"/>
            <w:vAlign w:val="bottom"/>
          </w:tcPr>
          <w:p>
            <w:pPr>
              <w:pStyle w:val="Compact"/>
              <w:spacing w:before="36" w:after="36"/>
              <w:jc w:val="left"/>
              <w:rPr/>
            </w:pPr>
            <w:r>
              <w:rPr/>
              <w:t>日期</w:t>
            </w:r>
          </w:p>
        </w:tc>
        <w:tc>
          <w:tcPr>
            <w:tcW w:w="4320" w:type="dxa"/>
            <w:tcBorders>
              <w:bottom w:val="single" w:sz="6" w:space="0" w:color="000001"/>
              <w:insideH w:val="single" w:sz="6" w:space="0" w:color="000001"/>
            </w:tcBorders>
            <w:shd w:fill="auto" w:val="clear"/>
            <w:vAlign w:val="bottom"/>
          </w:tcPr>
          <w:p>
            <w:pPr>
              <w:pStyle w:val="Compact"/>
              <w:spacing w:before="36" w:after="36"/>
              <w:jc w:val="center"/>
              <w:rPr/>
            </w:pPr>
            <w:r>
              <w:rPr/>
              <w:t>大类资产配置超额贡献</w:t>
            </w:r>
            <w:r>
              <w:rPr/>
              <w:t>(%)</w:t>
            </w:r>
          </w:p>
        </w:tc>
      </w:tr>
      <w:tr>
        <w:trPr/>
        <w:tc>
          <w:tcPr>
            <w:tcW w:w="4319" w:type="dxa"/>
            <w:tcBorders/>
            <w:shd w:fill="auto" w:val="clear"/>
          </w:tcPr>
          <w:p>
            <w:pPr>
              <w:pStyle w:val="Compact"/>
              <w:spacing w:before="36" w:after="36"/>
              <w:jc w:val="left"/>
              <w:rPr/>
            </w:pPr>
            <w:r>
              <w:rPr/>
              <w:t>2015 Q1</w:t>
            </w:r>
          </w:p>
        </w:tc>
        <w:tc>
          <w:tcPr>
            <w:tcW w:w="4320" w:type="dxa"/>
            <w:tcBorders/>
            <w:shd w:fill="auto" w:val="clear"/>
          </w:tcPr>
          <w:p>
            <w:pPr>
              <w:pStyle w:val="Compact"/>
              <w:spacing w:before="36" w:after="36"/>
              <w:jc w:val="center"/>
              <w:rPr/>
            </w:pPr>
            <w:r>
              <w:rPr/>
              <w:t>-1.9680</w:t>
            </w:r>
          </w:p>
        </w:tc>
      </w:tr>
      <w:tr>
        <w:trPr/>
        <w:tc>
          <w:tcPr>
            <w:tcW w:w="4319" w:type="dxa"/>
            <w:tcBorders/>
            <w:shd w:fill="auto" w:val="clear"/>
          </w:tcPr>
          <w:p>
            <w:pPr>
              <w:pStyle w:val="Compact"/>
              <w:spacing w:before="36" w:after="36"/>
              <w:jc w:val="left"/>
              <w:rPr/>
            </w:pPr>
            <w:r>
              <w:rPr/>
              <w:t>2015 Q2</w:t>
            </w:r>
          </w:p>
        </w:tc>
        <w:tc>
          <w:tcPr>
            <w:tcW w:w="4320" w:type="dxa"/>
            <w:tcBorders/>
            <w:shd w:fill="auto" w:val="clear"/>
          </w:tcPr>
          <w:p>
            <w:pPr>
              <w:pStyle w:val="Compact"/>
              <w:spacing w:before="36" w:after="36"/>
              <w:jc w:val="center"/>
              <w:rPr/>
            </w:pPr>
            <w:r>
              <w:rPr/>
              <w:t>2.2258</w:t>
            </w:r>
          </w:p>
        </w:tc>
      </w:tr>
      <w:tr>
        <w:trPr/>
        <w:tc>
          <w:tcPr>
            <w:tcW w:w="4319" w:type="dxa"/>
            <w:tcBorders/>
            <w:shd w:fill="auto" w:val="clear"/>
          </w:tcPr>
          <w:p>
            <w:pPr>
              <w:pStyle w:val="Compact"/>
              <w:spacing w:before="36" w:after="36"/>
              <w:jc w:val="left"/>
              <w:rPr/>
            </w:pPr>
            <w:r>
              <w:rPr/>
              <w:t>2015 Q3</w:t>
            </w:r>
          </w:p>
        </w:tc>
        <w:tc>
          <w:tcPr>
            <w:tcW w:w="4320" w:type="dxa"/>
            <w:tcBorders/>
            <w:shd w:fill="auto" w:val="clear"/>
          </w:tcPr>
          <w:p>
            <w:pPr>
              <w:pStyle w:val="Compact"/>
              <w:spacing w:before="36" w:after="36"/>
              <w:jc w:val="center"/>
              <w:rPr/>
            </w:pPr>
            <w:r>
              <w:rPr/>
              <w:t>-5.6627</w:t>
            </w:r>
          </w:p>
        </w:tc>
      </w:tr>
      <w:tr>
        <w:trPr/>
        <w:tc>
          <w:tcPr>
            <w:tcW w:w="4319" w:type="dxa"/>
            <w:tcBorders/>
            <w:shd w:fill="auto" w:val="clear"/>
          </w:tcPr>
          <w:p>
            <w:pPr>
              <w:pStyle w:val="Compact"/>
              <w:spacing w:before="36" w:after="36"/>
              <w:jc w:val="left"/>
              <w:rPr/>
            </w:pPr>
            <w:r>
              <w:rPr/>
              <w:t>2015 Q4</w:t>
            </w:r>
          </w:p>
        </w:tc>
        <w:tc>
          <w:tcPr>
            <w:tcW w:w="4320" w:type="dxa"/>
            <w:tcBorders/>
            <w:shd w:fill="auto" w:val="clear"/>
          </w:tcPr>
          <w:p>
            <w:pPr>
              <w:pStyle w:val="Compact"/>
              <w:spacing w:before="36" w:after="36"/>
              <w:jc w:val="center"/>
              <w:rPr/>
            </w:pPr>
            <w:r>
              <w:rPr/>
              <w:t>0.5234</w:t>
            </w:r>
          </w:p>
        </w:tc>
      </w:tr>
      <w:tr>
        <w:trPr/>
        <w:tc>
          <w:tcPr>
            <w:tcW w:w="4319" w:type="dxa"/>
            <w:tcBorders/>
            <w:shd w:fill="auto" w:val="clear"/>
          </w:tcPr>
          <w:p>
            <w:pPr>
              <w:pStyle w:val="Compact"/>
              <w:spacing w:before="36" w:after="36"/>
              <w:jc w:val="left"/>
              <w:rPr/>
            </w:pPr>
            <w:r>
              <w:rPr/>
              <w:t>2016 Q1</w:t>
            </w:r>
          </w:p>
        </w:tc>
        <w:tc>
          <w:tcPr>
            <w:tcW w:w="4320" w:type="dxa"/>
            <w:tcBorders/>
            <w:shd w:fill="auto" w:val="clear"/>
          </w:tcPr>
          <w:p>
            <w:pPr>
              <w:pStyle w:val="Compact"/>
              <w:spacing w:before="36" w:after="36"/>
              <w:jc w:val="center"/>
              <w:rPr/>
            </w:pPr>
            <w:r>
              <w:rPr/>
              <w:t>-3.3936</w:t>
            </w:r>
          </w:p>
        </w:tc>
      </w:tr>
      <w:tr>
        <w:trPr/>
        <w:tc>
          <w:tcPr>
            <w:tcW w:w="4319" w:type="dxa"/>
            <w:tcBorders/>
            <w:shd w:fill="auto" w:val="clear"/>
          </w:tcPr>
          <w:p>
            <w:pPr>
              <w:pStyle w:val="Compact"/>
              <w:spacing w:before="36" w:after="36"/>
              <w:jc w:val="left"/>
              <w:rPr/>
            </w:pPr>
            <w:r>
              <w:rPr/>
              <w:t>2016 Q2</w:t>
            </w:r>
          </w:p>
        </w:tc>
        <w:tc>
          <w:tcPr>
            <w:tcW w:w="4320" w:type="dxa"/>
            <w:tcBorders/>
            <w:shd w:fill="auto" w:val="clear"/>
          </w:tcPr>
          <w:p>
            <w:pPr>
              <w:pStyle w:val="Compact"/>
              <w:spacing w:before="36" w:after="36"/>
              <w:jc w:val="center"/>
              <w:rPr/>
            </w:pPr>
            <w:r>
              <w:rPr/>
              <w:t>-0.8133</w:t>
            </w:r>
          </w:p>
        </w:tc>
      </w:tr>
      <w:tr>
        <w:trPr/>
        <w:tc>
          <w:tcPr>
            <w:tcW w:w="4319" w:type="dxa"/>
            <w:tcBorders/>
            <w:shd w:fill="auto" w:val="clear"/>
          </w:tcPr>
          <w:p>
            <w:pPr>
              <w:pStyle w:val="Compact"/>
              <w:spacing w:before="36" w:after="36"/>
              <w:jc w:val="left"/>
              <w:rPr/>
            </w:pPr>
            <w:r>
              <w:rPr/>
              <w:t>2016 Q3</w:t>
            </w:r>
          </w:p>
        </w:tc>
        <w:tc>
          <w:tcPr>
            <w:tcW w:w="4320" w:type="dxa"/>
            <w:tcBorders/>
            <w:shd w:fill="auto" w:val="clear"/>
          </w:tcPr>
          <w:p>
            <w:pPr>
              <w:pStyle w:val="Compact"/>
              <w:spacing w:before="36" w:after="36"/>
              <w:jc w:val="center"/>
              <w:rPr/>
            </w:pPr>
            <w:r>
              <w:rPr/>
              <w:t>0.0314</w:t>
            </w:r>
          </w:p>
        </w:tc>
      </w:tr>
      <w:tr>
        <w:trPr/>
        <w:tc>
          <w:tcPr>
            <w:tcW w:w="4319" w:type="dxa"/>
            <w:tcBorders/>
            <w:shd w:fill="auto" w:val="clear"/>
          </w:tcPr>
          <w:p>
            <w:pPr>
              <w:pStyle w:val="Compact"/>
              <w:spacing w:before="36" w:after="36"/>
              <w:jc w:val="left"/>
              <w:rPr/>
            </w:pPr>
            <w:r>
              <w:rPr/>
              <w:t>2016 Q4</w:t>
            </w:r>
          </w:p>
        </w:tc>
        <w:tc>
          <w:tcPr>
            <w:tcW w:w="4320" w:type="dxa"/>
            <w:tcBorders/>
            <w:shd w:fill="auto" w:val="clear"/>
          </w:tcPr>
          <w:p>
            <w:pPr>
              <w:pStyle w:val="Compact"/>
              <w:spacing w:before="36" w:after="36"/>
              <w:jc w:val="center"/>
              <w:rPr/>
            </w:pPr>
            <w:r>
              <w:rPr/>
              <w:t>0.8708</w:t>
            </w:r>
          </w:p>
        </w:tc>
      </w:tr>
      <w:tr>
        <w:trPr/>
        <w:tc>
          <w:tcPr>
            <w:tcW w:w="4319" w:type="dxa"/>
            <w:tcBorders/>
            <w:shd w:fill="auto" w:val="clear"/>
          </w:tcPr>
          <w:p>
            <w:pPr>
              <w:pStyle w:val="Compact"/>
              <w:spacing w:before="36" w:after="36"/>
              <w:jc w:val="left"/>
              <w:rPr/>
            </w:pPr>
            <w:r>
              <w:rPr/>
              <w:t>2017 Q1</w:t>
            </w:r>
          </w:p>
        </w:tc>
        <w:tc>
          <w:tcPr>
            <w:tcW w:w="4320" w:type="dxa"/>
            <w:tcBorders/>
            <w:shd w:fill="auto" w:val="clear"/>
          </w:tcPr>
          <w:p>
            <w:pPr>
              <w:pStyle w:val="Compact"/>
              <w:spacing w:before="36" w:after="36"/>
              <w:jc w:val="center"/>
              <w:rPr/>
            </w:pPr>
            <w:r>
              <w:rPr/>
              <w:t>1.0665</w:t>
            </w:r>
          </w:p>
        </w:tc>
      </w:tr>
      <w:tr>
        <w:trPr>
          <w:cnfStyle w:firstRow="1"/>
        </w:trPr>
        <w:tc>
          <w:tcPr>
            <w:tcW w:w="4319" w:type="dxa"/>
            <w:tcBorders>
              <w:bottom w:val="single" w:sz="6" w:space="0" w:color="000001"/>
              <w:insideH w:val="single" w:sz="6" w:space="0" w:color="000001"/>
            </w:tcBorders>
            <w:shd w:fill="auto" w:val="clear"/>
            <w:vAlign w:val="bottom"/>
          </w:tcPr>
          <w:p>
            <w:pPr>
              <w:pStyle w:val="Compact"/>
              <w:spacing w:before="36" w:after="36"/>
              <w:jc w:val="center"/>
              <w:rPr/>
            </w:pPr>
            <w:r>
              <w:rPr/>
              <w:t>平均超额贡献</w:t>
            </w:r>
            <w:r>
              <w:rPr/>
              <w:t>%</w:t>
            </w:r>
          </w:p>
        </w:tc>
        <w:tc>
          <w:tcPr>
            <w:tcW w:w="4320" w:type="dxa"/>
            <w:tcBorders>
              <w:bottom w:val="single" w:sz="6" w:space="0" w:color="000001"/>
              <w:insideH w:val="single" w:sz="6" w:space="0" w:color="000001"/>
            </w:tcBorders>
            <w:shd w:fill="auto" w:val="clear"/>
            <w:vAlign w:val="bottom"/>
          </w:tcPr>
          <w:p>
            <w:pPr>
              <w:pStyle w:val="Compact"/>
              <w:spacing w:before="36" w:after="36"/>
              <w:jc w:val="left"/>
              <w:rPr/>
            </w:pPr>
            <w:r>
              <w:rPr/>
              <w:t>95%</w:t>
            </w:r>
            <w:r>
              <w:rPr/>
              <w:t>置信区间</w:t>
            </w:r>
          </w:p>
        </w:tc>
      </w:tr>
      <w:tr>
        <w:trPr/>
        <w:tc>
          <w:tcPr>
            <w:tcW w:w="4319" w:type="dxa"/>
            <w:tcBorders/>
            <w:shd w:fill="auto" w:val="clear"/>
          </w:tcPr>
          <w:p>
            <w:pPr>
              <w:pStyle w:val="Compact"/>
              <w:spacing w:before="36" w:after="36"/>
              <w:jc w:val="center"/>
              <w:rPr/>
            </w:pPr>
            <w:r>
              <w:rPr/>
              <w:t>-0.79</w:t>
            </w:r>
          </w:p>
        </w:tc>
        <w:tc>
          <w:tcPr>
            <w:tcW w:w="4320" w:type="dxa"/>
            <w:tcBorders/>
            <w:shd w:fill="auto" w:val="clear"/>
          </w:tcPr>
          <w:p>
            <w:pPr>
              <w:pStyle w:val="Compact"/>
              <w:spacing w:before="36" w:after="36"/>
              <w:jc w:val="left"/>
              <w:rPr/>
            </w:pPr>
            <w:r>
              <w:rPr/>
            </w:r>
            <m:oMath xmlns:m="http://schemas.openxmlformats.org/officeDocument/2006/math"/>
          </w:p>
        </w:tc>
      </w:tr>
    </w:tbl>
    <w:p>
      <w:pPr>
        <w:pStyle w:val="TextBody"/>
        <w:rPr/>
      </w:pPr>
      <w:r>
        <w:rPr/>
        <w:t>如果说在大盘</w:t>
      </w:r>
      <w:r>
        <w:rPr/>
        <w:t>A</w:t>
      </w:r>
      <w:r>
        <w:rPr/>
        <w:t>上，丘没有展现出大类资产配置的能力是受制于其基金条约限制的话，那么在股票仓位可以在</w:t>
      </w:r>
      <w:r>
        <w:rPr/>
        <w:t>30%-95%</w:t>
      </w:r>
      <w:r>
        <w:rPr/>
        <w:t>区间变化，事实上投资实践中也出现了大幅度的仓位变化的双核策略上应该更能客观的平价丘的大类资产配置能力。统计结果显示，大类资产配置实际上没有提供正的超额收益。因此，丘在过去</w:t>
      </w:r>
      <w:r>
        <w:rPr/>
        <w:t>7</w:t>
      </w:r>
      <w:r>
        <w:rPr/>
        <w:t>年的基金管理中并没有显示出大类资产配置的能力。那么他的靓丽的业绩表现，必然来自于出众的行业配置和个股选择能力。也正如在调研中，丘自身回应的，“自下而上”是他进行投资时的基本程序。而“自下而上”的思考过程，往往容易忽略大类资产配置。这与我们的数据分析的结果是吻合的。</w:t>
      </w:r>
    </w:p>
    <w:p>
      <w:pPr>
        <w:pStyle w:val="Heading3"/>
        <w:rPr/>
      </w:pPr>
      <w:bookmarkStart w:id="6" w:name="弱行业配置能力"/>
      <w:bookmarkEnd w:id="6"/>
      <w:r>
        <w:rPr/>
        <w:t>弱行业配置能力</w:t>
      </w:r>
    </w:p>
    <w:p>
      <w:pPr>
        <w:pStyle w:val="FirstParagraph"/>
        <w:rPr/>
      </w:pPr>
      <w:r>
        <w:rPr/>
        <w:t>既然基金产品的超额收益并非得益于大类资产的配置，那么比如来自与行业配置、选股以及择时的能力。需要提前指出的是，这三个能力在逻辑与实践中都不是相互独立的。好的投资标的往往也意味着好的投资时机，而好股票的挖掘与选择自然也带来了相应行业的配置偏好。但是这三种能力又在某种程度上可以区别开来，因为它们毕竟是在投资的不同决策层面和时点上的投资活动。我们认为：</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880"/>
        <w:gridCol w:w="2880"/>
        <w:gridCol w:w="2880"/>
      </w:tblGrid>
      <w:tr>
        <w:trPr>
          <w:cnfStyle w:firstRow="1"/>
        </w:trPr>
        <w:tc>
          <w:tcPr>
            <w:tcW w:w="2880" w:type="dxa"/>
            <w:tcBorders>
              <w:bottom w:val="single" w:sz="6" w:space="0" w:color="000001"/>
              <w:insideH w:val="single" w:sz="6" w:space="0" w:color="000001"/>
            </w:tcBorders>
            <w:shd w:fill="auto" w:val="clear"/>
            <w:vAlign w:val="bottom"/>
          </w:tcPr>
          <w:p>
            <w:pPr>
              <w:pStyle w:val="Compact"/>
              <w:spacing w:before="36" w:after="36"/>
              <w:jc w:val="left"/>
              <w:rPr/>
            </w:pPr>
            <w:r>
              <w:rPr/>
              <w:t>行为</w:t>
            </w:r>
          </w:p>
        </w:tc>
        <w:tc>
          <w:tcPr>
            <w:tcW w:w="2880" w:type="dxa"/>
            <w:tcBorders>
              <w:bottom w:val="single" w:sz="6" w:space="0" w:color="000001"/>
              <w:insideH w:val="single" w:sz="6" w:space="0" w:color="000001"/>
            </w:tcBorders>
            <w:shd w:fill="auto" w:val="clear"/>
            <w:vAlign w:val="bottom"/>
          </w:tcPr>
          <w:p>
            <w:pPr>
              <w:pStyle w:val="Compact"/>
              <w:spacing w:before="36" w:after="36"/>
              <w:jc w:val="left"/>
              <w:rPr/>
            </w:pPr>
            <w:r>
              <w:rPr/>
              <w:t>动机</w:t>
            </w:r>
          </w:p>
        </w:tc>
        <w:tc>
          <w:tcPr>
            <w:tcW w:w="2880" w:type="dxa"/>
            <w:tcBorders>
              <w:bottom w:val="single" w:sz="6" w:space="0" w:color="000001"/>
              <w:insideH w:val="single" w:sz="6" w:space="0" w:color="000001"/>
            </w:tcBorders>
            <w:shd w:fill="auto" w:val="clear"/>
            <w:vAlign w:val="bottom"/>
          </w:tcPr>
          <w:p>
            <w:pPr>
              <w:pStyle w:val="Compact"/>
              <w:spacing w:before="36" w:after="36"/>
              <w:jc w:val="left"/>
              <w:rPr/>
            </w:pPr>
            <w:r>
              <w:rPr/>
              <w:t>度量方法</w:t>
            </w:r>
          </w:p>
        </w:tc>
      </w:tr>
      <w:tr>
        <w:trPr/>
        <w:tc>
          <w:tcPr>
            <w:tcW w:w="2880" w:type="dxa"/>
            <w:tcBorders/>
            <w:shd w:fill="auto" w:val="clear"/>
          </w:tcPr>
          <w:p>
            <w:pPr>
              <w:pStyle w:val="Compact"/>
              <w:spacing w:before="36" w:after="36"/>
              <w:jc w:val="left"/>
              <w:rPr/>
            </w:pPr>
            <w:r>
              <w:rPr/>
              <w:t>行业配置</w:t>
            </w:r>
          </w:p>
        </w:tc>
        <w:tc>
          <w:tcPr>
            <w:tcW w:w="2880" w:type="dxa"/>
            <w:tcBorders/>
            <w:shd w:fill="auto" w:val="clear"/>
          </w:tcPr>
          <w:p>
            <w:pPr>
              <w:pStyle w:val="Compact"/>
              <w:spacing w:before="36" w:after="36"/>
              <w:jc w:val="left"/>
              <w:rPr/>
            </w:pPr>
            <w:r>
              <w:rPr/>
              <w:t>smart beta</w:t>
            </w:r>
          </w:p>
        </w:tc>
        <w:tc>
          <w:tcPr>
            <w:tcW w:w="2880" w:type="dxa"/>
            <w:tcBorders/>
            <w:shd w:fill="auto" w:val="clear"/>
          </w:tcPr>
          <w:p>
            <w:pPr>
              <w:pStyle w:val="Compact"/>
              <w:spacing w:before="36" w:after="36"/>
              <w:jc w:val="left"/>
              <w:rPr/>
            </w:pPr>
            <w:r>
              <w:rPr/>
            </w:r>
            <m:oMath xmlns:m="http://schemas.openxmlformats.org/officeDocument/2006/math">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sSubSup>
                    <m:e>
                      <m:r>
                        <w:rPr>
                          <w:rFonts w:ascii="Cambria Math" w:hAnsi="Cambria Math"/>
                        </w:rPr>
                        <m:t xml:space="preserve">w</m:t>
                      </m:r>
                    </m:e>
                    <m:sub>
                      <m:r>
                        <w:rPr>
                          <w:rFonts w:ascii="Cambria Math" w:hAnsi="Cambria Math"/>
                        </w:rPr>
                        <m:t xml:space="preserve">i</m:t>
                      </m:r>
                    </m:sub>
                    <m:sup>
                      <m:r>
                        <w:rPr>
                          <w:rFonts w:ascii="Cambria Math" w:hAnsi="Cambria Math"/>
                        </w:rPr>
                        <m:t xml:space="preserve">B</m:t>
                      </m:r>
                    </m:sup>
                  </m:sSubSup>
                </m:e>
              </m:d>
              <m:d>
                <m:dPr>
                  <m:begChr m:val="("/>
                  <m:endChr m:val=")"/>
                </m:dPr>
                <m:e>
                  <m:sSubSup>
                    <m:e>
                      <m:r>
                        <w:rPr>
                          <w:rFonts w:ascii="Cambria Math" w:hAnsi="Cambria Math"/>
                        </w:rPr>
                        <m:t xml:space="preserve">r</m:t>
                      </m:r>
                    </m:e>
                    <m:sub>
                      <m:r>
                        <w:rPr>
                          <w:rFonts w:ascii="Cambria Math" w:hAnsi="Cambria Math"/>
                        </w:rPr>
                        <m:t xml:space="preserve">i</m:t>
                      </m:r>
                    </m:sub>
                    <m:sup>
                      <m:r>
                        <w:rPr>
                          <w:rFonts w:ascii="Cambria Math" w:hAnsi="Cambria Math"/>
                        </w:rPr>
                        <m:t xml:space="preserve">B</m:t>
                      </m:r>
                    </m:sup>
                  </m:sSubSup>
                  <m:r>
                    <w:rPr>
                      <w:rFonts w:ascii="Cambria Math" w:hAnsi="Cambria Math"/>
                    </w:rPr>
                    <m:t xml:space="preserve">−</m:t>
                  </m:r>
                  <m:sSup>
                    <m:e>
                      <m:r>
                        <w:rPr>
                          <w:rFonts w:ascii="Cambria Math" w:hAnsi="Cambria Math"/>
                        </w:rPr>
                        <m:t xml:space="preserve">r</m:t>
                      </m:r>
                    </m:e>
                    <m:sup>
                      <m:r>
                        <w:rPr>
                          <w:rFonts w:ascii="Cambria Math" w:hAnsi="Cambria Math"/>
                        </w:rPr>
                        <m:t xml:space="preserve">B</m:t>
                      </m:r>
                    </m:sup>
                  </m:sSup>
                </m:e>
              </m:d>
            </m:oMath>
          </w:p>
        </w:tc>
      </w:tr>
      <w:tr>
        <w:trPr/>
        <w:tc>
          <w:tcPr>
            <w:tcW w:w="2880" w:type="dxa"/>
            <w:tcBorders/>
            <w:shd w:fill="auto" w:val="clear"/>
          </w:tcPr>
          <w:p>
            <w:pPr>
              <w:pStyle w:val="Compact"/>
              <w:spacing w:before="36" w:after="36"/>
              <w:jc w:val="left"/>
              <w:rPr/>
            </w:pPr>
            <w:r>
              <w:rPr/>
              <w:t>择股</w:t>
            </w:r>
          </w:p>
        </w:tc>
        <w:tc>
          <w:tcPr>
            <w:tcW w:w="2880" w:type="dxa"/>
            <w:tcBorders/>
            <w:shd w:fill="auto" w:val="clear"/>
          </w:tcPr>
          <w:p>
            <w:pPr>
              <w:pStyle w:val="Compact"/>
              <w:spacing w:before="36" w:after="36"/>
              <w:jc w:val="left"/>
              <w:rPr/>
            </w:pPr>
            <w:r>
              <w:rPr/>
              <w:t>持续的</w:t>
            </w:r>
            <w:r>
              <w:rPr/>
              <w:t>alpha</w:t>
            </w:r>
          </w:p>
        </w:tc>
        <w:tc>
          <w:tcPr>
            <w:tcW w:w="2880" w:type="dxa"/>
            <w:tcBorders/>
            <w:shd w:fill="auto" w:val="clear"/>
          </w:tcPr>
          <w:p>
            <w:pPr>
              <w:pStyle w:val="Compact"/>
              <w:spacing w:before="36" w:after="36"/>
              <w:jc w:val="left"/>
              <w:rPr/>
            </w:pPr>
            <w:r>
              <w:rPr/>
            </w:r>
            <m:oMath xmlns:m="http://schemas.openxmlformats.org/officeDocument/2006/math">
              <m:r>
                <w:rPr>
                  <w:rFonts w:ascii="Cambria Math" w:hAnsi="Cambria Math"/>
                </w:rPr>
                <m:t xml:space="preserve">∑</m:t>
              </m:r>
              <m:sSub>
                <m:e>
                  <m:r>
                    <w:rPr>
                      <w:rFonts w:ascii="Cambria Math" w:hAnsi="Cambria Math"/>
                    </w:rPr>
                    <m:t xml:space="preserve">w</m:t>
                  </m:r>
                </m:e>
                <m:sub>
                  <m:r>
                    <w:rPr>
                      <w:rFonts w:ascii="Cambria Math" w:hAnsi="Cambria Math"/>
                    </w:rPr>
                    <m:t xml:space="preserve">i</m:t>
                  </m:r>
                </m:sub>
              </m:sSub>
              <m:d>
                <m:dPr>
                  <m:begChr m:val="("/>
                  <m:endChr m:val=")"/>
                </m:dPr>
                <m:e>
                  <m:sSubSup>
                    <m:e>
                      <m:r>
                        <w:rPr>
                          <w:rFonts w:ascii="Cambria Math" w:hAnsi="Cambria Math"/>
                        </w:rPr>
                        <m:t xml:space="preserve">r</m:t>
                      </m:r>
                    </m:e>
                    <m:sub>
                      <m:r>
                        <w:rPr>
                          <w:rFonts w:ascii="Cambria Math" w:hAnsi="Cambria Math"/>
                        </w:rPr>
                        <m:t xml:space="preserve">i</m:t>
                      </m:r>
                    </m:sub>
                    <m:sup>
                      <m:r>
                        <w:rPr>
                          <w:rFonts w:ascii="Cambria Math" w:hAnsi="Cambria Math"/>
                        </w:rPr>
                        <m:t xml:space="preserve">F</m:t>
                      </m:r>
                    </m:sup>
                  </m:sSubSup>
                  <m:r>
                    <w:rPr>
                      <w:rFonts w:ascii="Cambria Math" w:hAnsi="Cambria Math"/>
                    </w:rPr>
                    <m:t xml:space="preserve">−</m:t>
                  </m:r>
                  <m:sSubSup>
                    <m:e>
                      <m:r>
                        <w:rPr>
                          <w:rFonts w:ascii="Cambria Math" w:hAnsi="Cambria Math"/>
                        </w:rPr>
                        <m:t xml:space="preserve">r</m:t>
                      </m:r>
                    </m:e>
                    <m:sub>
                      <m:r>
                        <w:rPr>
                          <w:rFonts w:ascii="Cambria Math" w:hAnsi="Cambria Math"/>
                        </w:rPr>
                        <m:t xml:space="preserve">i</m:t>
                      </m:r>
                    </m:sub>
                    <m:sup>
                      <m:r>
                        <w:rPr>
                          <w:rFonts w:ascii="Cambria Math" w:hAnsi="Cambria Math"/>
                        </w:rPr>
                        <m:t xml:space="preserve">B</m:t>
                      </m:r>
                    </m:sup>
                  </m:sSubSup>
                </m:e>
              </m:d>
            </m:oMath>
          </w:p>
        </w:tc>
      </w:tr>
      <w:tr>
        <w:trPr/>
        <w:tc>
          <w:tcPr>
            <w:tcW w:w="2880" w:type="dxa"/>
            <w:tcBorders/>
            <w:shd w:fill="auto" w:val="clear"/>
          </w:tcPr>
          <w:p>
            <w:pPr>
              <w:pStyle w:val="Compact"/>
              <w:spacing w:before="36" w:after="36"/>
              <w:jc w:val="left"/>
              <w:rPr/>
            </w:pPr>
            <w:r>
              <w:rPr/>
              <w:t>择时</w:t>
            </w:r>
          </w:p>
        </w:tc>
        <w:tc>
          <w:tcPr>
            <w:tcW w:w="2880" w:type="dxa"/>
            <w:tcBorders/>
            <w:shd w:fill="auto" w:val="clear"/>
          </w:tcPr>
          <w:p>
            <w:pPr>
              <w:pStyle w:val="Compact"/>
              <w:spacing w:before="36" w:after="36"/>
              <w:jc w:val="left"/>
              <w:rPr/>
            </w:pPr>
            <w:r>
              <w:rPr/>
              <w:t>动态的</w:t>
            </w:r>
            <w:r>
              <w:rPr/>
              <w:t>alpha</w:t>
            </w:r>
          </w:p>
        </w:tc>
        <w:tc>
          <w:tcPr>
            <w:tcW w:w="2880" w:type="dxa"/>
            <w:tcBorders/>
            <w:shd w:fill="auto" w:val="clear"/>
          </w:tcPr>
          <w:p>
            <w:pPr>
              <w:pStyle w:val="Compact"/>
              <w:spacing w:before="36" w:after="36"/>
              <w:jc w:val="left"/>
              <w:rPr/>
            </w:pPr>
            <w:r>
              <w:rPr/>
              <w:t>未解释的差额部分</w:t>
            </w:r>
          </w:p>
        </w:tc>
      </w:tr>
    </w:tbl>
    <w:p>
      <w:pPr>
        <w:pStyle w:val="TextBody"/>
        <w:rPr/>
      </w:pPr>
      <w:r>
        <w:rPr/>
        <w:t>因为所获得数据精确程度的不同，我们计算的以上三个方面能力对于总超额收益的贡献比例可能是不精确的，读者应该更多的关注其相对值以及相关的统计推论。</w:t>
      </w:r>
    </w:p>
    <w:p>
      <w:pPr>
        <w:pStyle w:val="TableCaption"/>
        <w:rPr/>
      </w:pPr>
      <w:r>
        <w:rPr/>
        <w:t>汇丰晋信大盘行业配置能力</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880"/>
        <w:gridCol w:w="2880"/>
        <w:gridCol w:w="2880"/>
      </w:tblGrid>
      <w:tr>
        <w:trPr>
          <w:cnfStyle w:firstRow="1"/>
        </w:trPr>
        <w:tc>
          <w:tcPr>
            <w:tcW w:w="2880" w:type="dxa"/>
            <w:tcBorders>
              <w:bottom w:val="single" w:sz="6" w:space="0" w:color="000001"/>
              <w:insideH w:val="single" w:sz="6" w:space="0" w:color="000001"/>
            </w:tcBorders>
            <w:shd w:fill="auto" w:val="clear"/>
            <w:vAlign w:val="bottom"/>
          </w:tcPr>
          <w:p>
            <w:pPr>
              <w:pStyle w:val="Compact"/>
              <w:spacing w:before="36" w:after="36"/>
              <w:jc w:val="left"/>
              <w:rPr/>
            </w:pPr>
            <w:r>
              <w:rPr/>
              <w:t>日期</w:t>
            </w:r>
          </w:p>
        </w:tc>
        <w:tc>
          <w:tcPr>
            <w:tcW w:w="2880" w:type="dxa"/>
            <w:tcBorders>
              <w:bottom w:val="single" w:sz="6" w:space="0" w:color="000001"/>
              <w:insideH w:val="single" w:sz="6" w:space="0" w:color="000001"/>
            </w:tcBorders>
            <w:shd w:fill="auto" w:val="clear"/>
            <w:vAlign w:val="bottom"/>
          </w:tcPr>
          <w:p>
            <w:pPr>
              <w:pStyle w:val="Compact"/>
              <w:spacing w:before="36" w:after="36"/>
              <w:jc w:val="center"/>
              <w:rPr/>
            </w:pPr>
            <w:r>
              <w:rPr/>
              <w:t>行业配置成功率</w:t>
            </w:r>
            <w:r>
              <w:rPr/>
              <w:t>%</w:t>
            </w:r>
          </w:p>
        </w:tc>
        <w:tc>
          <w:tcPr>
            <w:tcW w:w="2880" w:type="dxa"/>
            <w:tcBorders>
              <w:bottom w:val="single" w:sz="6" w:space="0" w:color="000001"/>
              <w:insideH w:val="single" w:sz="6" w:space="0" w:color="000001"/>
            </w:tcBorders>
            <w:shd w:fill="auto" w:val="clear"/>
            <w:vAlign w:val="bottom"/>
          </w:tcPr>
          <w:p>
            <w:pPr>
              <w:pStyle w:val="Compact"/>
              <w:spacing w:before="36" w:after="36"/>
              <w:jc w:val="center"/>
              <w:rPr/>
            </w:pPr>
            <w:r>
              <w:rPr/>
              <w:t>行业配置贡献超额收益率</w:t>
            </w:r>
            <w:r>
              <w:rPr/>
              <w:t>%</w:t>
            </w:r>
          </w:p>
        </w:tc>
      </w:tr>
      <w:tr>
        <w:trPr/>
        <w:tc>
          <w:tcPr>
            <w:tcW w:w="2880" w:type="dxa"/>
            <w:tcBorders/>
            <w:shd w:fill="auto" w:val="clear"/>
          </w:tcPr>
          <w:p>
            <w:pPr>
              <w:pStyle w:val="Compact"/>
              <w:spacing w:before="36" w:after="36"/>
              <w:jc w:val="left"/>
              <w:rPr/>
            </w:pPr>
            <w:r>
              <w:rPr/>
              <w:t>2014 Q3</w:t>
            </w:r>
          </w:p>
        </w:tc>
        <w:tc>
          <w:tcPr>
            <w:tcW w:w="2880" w:type="dxa"/>
            <w:tcBorders/>
            <w:shd w:fill="auto" w:val="clear"/>
          </w:tcPr>
          <w:p>
            <w:pPr>
              <w:pStyle w:val="Compact"/>
              <w:spacing w:before="36" w:after="36"/>
              <w:jc w:val="center"/>
              <w:rPr/>
            </w:pPr>
            <w:r>
              <w:rPr/>
              <w:t>12.50</w:t>
            </w:r>
          </w:p>
        </w:tc>
        <w:tc>
          <w:tcPr>
            <w:tcW w:w="2880" w:type="dxa"/>
            <w:tcBorders/>
            <w:shd w:fill="auto" w:val="clear"/>
          </w:tcPr>
          <w:p>
            <w:pPr>
              <w:pStyle w:val="Compact"/>
              <w:spacing w:before="36" w:after="36"/>
              <w:jc w:val="center"/>
              <w:rPr/>
            </w:pPr>
            <w:r>
              <w:rPr/>
              <w:t>0.88</w:t>
            </w:r>
          </w:p>
        </w:tc>
      </w:tr>
      <w:tr>
        <w:trPr/>
        <w:tc>
          <w:tcPr>
            <w:tcW w:w="2880" w:type="dxa"/>
            <w:tcBorders/>
            <w:shd w:fill="auto" w:val="clear"/>
          </w:tcPr>
          <w:p>
            <w:pPr>
              <w:pStyle w:val="Compact"/>
              <w:spacing w:before="36" w:after="36"/>
              <w:jc w:val="left"/>
              <w:rPr/>
            </w:pPr>
            <w:r>
              <w:rPr/>
              <w:t>2014 Q4</w:t>
            </w:r>
          </w:p>
        </w:tc>
        <w:tc>
          <w:tcPr>
            <w:tcW w:w="2880" w:type="dxa"/>
            <w:tcBorders/>
            <w:shd w:fill="auto" w:val="clear"/>
          </w:tcPr>
          <w:p>
            <w:pPr>
              <w:pStyle w:val="Compact"/>
              <w:spacing w:before="36" w:after="36"/>
              <w:jc w:val="center"/>
              <w:rPr/>
            </w:pPr>
            <w:r>
              <w:rPr/>
              <w:t>-14.29</w:t>
            </w:r>
          </w:p>
        </w:tc>
        <w:tc>
          <w:tcPr>
            <w:tcW w:w="2880" w:type="dxa"/>
            <w:tcBorders/>
            <w:shd w:fill="auto" w:val="clear"/>
          </w:tcPr>
          <w:p>
            <w:pPr>
              <w:pStyle w:val="Compact"/>
              <w:spacing w:before="36" w:after="36"/>
              <w:jc w:val="center"/>
              <w:rPr/>
            </w:pPr>
            <w:r>
              <w:rPr/>
              <w:t>2.89</w:t>
            </w:r>
          </w:p>
        </w:tc>
      </w:tr>
      <w:tr>
        <w:trPr/>
        <w:tc>
          <w:tcPr>
            <w:tcW w:w="2880" w:type="dxa"/>
            <w:tcBorders/>
            <w:shd w:fill="auto" w:val="clear"/>
          </w:tcPr>
          <w:p>
            <w:pPr>
              <w:pStyle w:val="Compact"/>
              <w:spacing w:before="36" w:after="36"/>
              <w:jc w:val="left"/>
              <w:rPr/>
            </w:pPr>
            <w:r>
              <w:rPr/>
              <w:t>2015 Q1</w:t>
            </w:r>
          </w:p>
        </w:tc>
        <w:tc>
          <w:tcPr>
            <w:tcW w:w="2880" w:type="dxa"/>
            <w:tcBorders/>
            <w:shd w:fill="auto" w:val="clear"/>
          </w:tcPr>
          <w:p>
            <w:pPr>
              <w:pStyle w:val="Compact"/>
              <w:spacing w:before="36" w:after="36"/>
              <w:jc w:val="center"/>
              <w:rPr/>
            </w:pPr>
            <w:r>
              <w:rPr/>
              <w:t>14.29</w:t>
            </w:r>
          </w:p>
        </w:tc>
        <w:tc>
          <w:tcPr>
            <w:tcW w:w="2880" w:type="dxa"/>
            <w:tcBorders/>
            <w:shd w:fill="auto" w:val="clear"/>
          </w:tcPr>
          <w:p>
            <w:pPr>
              <w:pStyle w:val="Compact"/>
              <w:spacing w:before="36" w:after="36"/>
              <w:jc w:val="center"/>
              <w:rPr/>
            </w:pPr>
            <w:r>
              <w:rPr/>
              <w:t>-3.27</w:t>
            </w:r>
          </w:p>
        </w:tc>
      </w:tr>
      <w:tr>
        <w:trPr/>
        <w:tc>
          <w:tcPr>
            <w:tcW w:w="2880" w:type="dxa"/>
            <w:tcBorders/>
            <w:shd w:fill="auto" w:val="clear"/>
          </w:tcPr>
          <w:p>
            <w:pPr>
              <w:pStyle w:val="Compact"/>
              <w:spacing w:before="36" w:after="36"/>
              <w:jc w:val="left"/>
              <w:rPr/>
            </w:pPr>
            <w:r>
              <w:rPr/>
              <w:t>2015 Q2</w:t>
            </w:r>
          </w:p>
        </w:tc>
        <w:tc>
          <w:tcPr>
            <w:tcW w:w="2880" w:type="dxa"/>
            <w:tcBorders/>
            <w:shd w:fill="auto" w:val="clear"/>
          </w:tcPr>
          <w:p>
            <w:pPr>
              <w:pStyle w:val="Compact"/>
              <w:spacing w:before="36" w:after="36"/>
              <w:jc w:val="center"/>
              <w:rPr/>
            </w:pPr>
            <w:r>
              <w:rPr/>
              <w:t>14.29</w:t>
            </w:r>
          </w:p>
        </w:tc>
        <w:tc>
          <w:tcPr>
            <w:tcW w:w="2880" w:type="dxa"/>
            <w:tcBorders/>
            <w:shd w:fill="auto" w:val="clear"/>
          </w:tcPr>
          <w:p>
            <w:pPr>
              <w:pStyle w:val="Compact"/>
              <w:spacing w:before="36" w:after="36"/>
              <w:jc w:val="center"/>
              <w:rPr/>
            </w:pPr>
            <w:r>
              <w:rPr/>
              <w:t>-2.85</w:t>
            </w:r>
          </w:p>
        </w:tc>
      </w:tr>
      <w:tr>
        <w:trPr/>
        <w:tc>
          <w:tcPr>
            <w:tcW w:w="2880" w:type="dxa"/>
            <w:tcBorders/>
            <w:shd w:fill="auto" w:val="clear"/>
          </w:tcPr>
          <w:p>
            <w:pPr>
              <w:pStyle w:val="Compact"/>
              <w:spacing w:before="36" w:after="36"/>
              <w:jc w:val="left"/>
              <w:rPr/>
            </w:pPr>
            <w:r>
              <w:rPr/>
              <w:t>2015 Q4</w:t>
            </w:r>
          </w:p>
        </w:tc>
        <w:tc>
          <w:tcPr>
            <w:tcW w:w="2880" w:type="dxa"/>
            <w:tcBorders/>
            <w:shd w:fill="auto" w:val="clear"/>
          </w:tcPr>
          <w:p>
            <w:pPr>
              <w:pStyle w:val="Compact"/>
              <w:spacing w:before="36" w:after="36"/>
              <w:jc w:val="center"/>
              <w:rPr/>
            </w:pPr>
            <w:r>
              <w:rPr/>
              <w:t>11.11</w:t>
            </w:r>
          </w:p>
        </w:tc>
        <w:tc>
          <w:tcPr>
            <w:tcW w:w="2880" w:type="dxa"/>
            <w:tcBorders/>
            <w:shd w:fill="auto" w:val="clear"/>
          </w:tcPr>
          <w:p>
            <w:pPr>
              <w:pStyle w:val="Compact"/>
              <w:spacing w:before="36" w:after="36"/>
              <w:jc w:val="center"/>
              <w:rPr/>
            </w:pPr>
            <w:r>
              <w:rPr/>
              <w:t>0.13</w:t>
            </w:r>
          </w:p>
        </w:tc>
      </w:tr>
      <w:tr>
        <w:trPr/>
        <w:tc>
          <w:tcPr>
            <w:tcW w:w="2880" w:type="dxa"/>
            <w:tcBorders/>
            <w:shd w:fill="auto" w:val="clear"/>
          </w:tcPr>
          <w:p>
            <w:pPr>
              <w:pStyle w:val="Compact"/>
              <w:spacing w:before="36" w:after="36"/>
              <w:jc w:val="left"/>
              <w:rPr/>
            </w:pPr>
            <w:r>
              <w:rPr/>
              <w:t>2016 Q1</w:t>
            </w:r>
          </w:p>
        </w:tc>
        <w:tc>
          <w:tcPr>
            <w:tcW w:w="2880" w:type="dxa"/>
            <w:tcBorders/>
            <w:shd w:fill="auto" w:val="clear"/>
          </w:tcPr>
          <w:p>
            <w:pPr>
              <w:pStyle w:val="Compact"/>
              <w:spacing w:before="36" w:after="36"/>
              <w:jc w:val="center"/>
              <w:rPr/>
            </w:pPr>
            <w:r>
              <w:rPr/>
              <w:t>11.11</w:t>
            </w:r>
          </w:p>
        </w:tc>
        <w:tc>
          <w:tcPr>
            <w:tcW w:w="2880" w:type="dxa"/>
            <w:tcBorders/>
            <w:shd w:fill="auto" w:val="clear"/>
          </w:tcPr>
          <w:p>
            <w:pPr>
              <w:pStyle w:val="Compact"/>
              <w:spacing w:before="36" w:after="36"/>
              <w:jc w:val="center"/>
              <w:rPr/>
            </w:pPr>
            <w:r>
              <w:rPr/>
              <w:t>-0.54</w:t>
            </w:r>
          </w:p>
        </w:tc>
      </w:tr>
      <w:tr>
        <w:trPr/>
        <w:tc>
          <w:tcPr>
            <w:tcW w:w="2880" w:type="dxa"/>
            <w:tcBorders/>
            <w:shd w:fill="auto" w:val="clear"/>
          </w:tcPr>
          <w:p>
            <w:pPr>
              <w:pStyle w:val="Compact"/>
              <w:spacing w:before="36" w:after="36"/>
              <w:jc w:val="left"/>
              <w:rPr/>
            </w:pPr>
            <w:r>
              <w:rPr/>
              <w:t>2016 Q2</w:t>
            </w:r>
          </w:p>
        </w:tc>
        <w:tc>
          <w:tcPr>
            <w:tcW w:w="2880" w:type="dxa"/>
            <w:tcBorders/>
            <w:shd w:fill="auto" w:val="clear"/>
          </w:tcPr>
          <w:p>
            <w:pPr>
              <w:pStyle w:val="Compact"/>
              <w:spacing w:before="36" w:after="36"/>
              <w:jc w:val="center"/>
              <w:rPr/>
            </w:pPr>
            <w:r>
              <w:rPr/>
              <w:t>-9.09</w:t>
            </w:r>
          </w:p>
        </w:tc>
        <w:tc>
          <w:tcPr>
            <w:tcW w:w="2880" w:type="dxa"/>
            <w:tcBorders/>
            <w:shd w:fill="auto" w:val="clear"/>
          </w:tcPr>
          <w:p>
            <w:pPr>
              <w:pStyle w:val="Compact"/>
              <w:spacing w:before="36" w:after="36"/>
              <w:jc w:val="center"/>
              <w:rPr/>
            </w:pPr>
            <w:r>
              <w:rPr/>
              <w:t>-0.48</w:t>
            </w:r>
          </w:p>
        </w:tc>
      </w:tr>
      <w:tr>
        <w:trPr/>
        <w:tc>
          <w:tcPr>
            <w:tcW w:w="2880" w:type="dxa"/>
            <w:tcBorders/>
            <w:shd w:fill="auto" w:val="clear"/>
          </w:tcPr>
          <w:p>
            <w:pPr>
              <w:pStyle w:val="Compact"/>
              <w:spacing w:before="36" w:after="36"/>
              <w:jc w:val="left"/>
              <w:rPr/>
            </w:pPr>
            <w:r>
              <w:rPr/>
              <w:t>2016 Q4</w:t>
            </w:r>
          </w:p>
        </w:tc>
        <w:tc>
          <w:tcPr>
            <w:tcW w:w="2880" w:type="dxa"/>
            <w:tcBorders/>
            <w:shd w:fill="auto" w:val="clear"/>
          </w:tcPr>
          <w:p>
            <w:pPr>
              <w:pStyle w:val="Compact"/>
              <w:spacing w:before="36" w:after="36"/>
              <w:jc w:val="center"/>
              <w:rPr/>
            </w:pPr>
            <w:r>
              <w:rPr/>
              <w:t>9.09</w:t>
            </w:r>
          </w:p>
        </w:tc>
        <w:tc>
          <w:tcPr>
            <w:tcW w:w="2880" w:type="dxa"/>
            <w:tcBorders/>
            <w:shd w:fill="auto" w:val="clear"/>
          </w:tcPr>
          <w:p>
            <w:pPr>
              <w:pStyle w:val="Compact"/>
              <w:spacing w:before="36" w:after="36"/>
              <w:jc w:val="center"/>
              <w:rPr/>
            </w:pPr>
            <w:r>
              <w:rPr/>
              <w:t>0.06</w:t>
            </w:r>
          </w:p>
        </w:tc>
      </w:tr>
      <w:tr>
        <w:trPr/>
        <w:tc>
          <w:tcPr>
            <w:tcW w:w="2880" w:type="dxa"/>
            <w:tcBorders/>
            <w:shd w:fill="auto" w:val="clear"/>
          </w:tcPr>
          <w:p>
            <w:pPr>
              <w:pStyle w:val="Compact"/>
              <w:spacing w:before="36" w:after="36"/>
              <w:jc w:val="left"/>
              <w:rPr/>
            </w:pPr>
            <w:r>
              <w:rPr/>
              <w:t>2017 Q1</w:t>
            </w:r>
          </w:p>
        </w:tc>
        <w:tc>
          <w:tcPr>
            <w:tcW w:w="2880" w:type="dxa"/>
            <w:tcBorders/>
            <w:shd w:fill="auto" w:val="clear"/>
          </w:tcPr>
          <w:p>
            <w:pPr>
              <w:pStyle w:val="Compact"/>
              <w:spacing w:before="36" w:after="36"/>
              <w:jc w:val="center"/>
              <w:rPr/>
            </w:pPr>
            <w:r>
              <w:rPr/>
              <w:t>-8.33</w:t>
            </w:r>
          </w:p>
        </w:tc>
        <w:tc>
          <w:tcPr>
            <w:tcW w:w="2880" w:type="dxa"/>
            <w:tcBorders/>
            <w:shd w:fill="auto" w:val="clear"/>
          </w:tcPr>
          <w:p>
            <w:pPr>
              <w:pStyle w:val="Compact"/>
              <w:spacing w:before="36" w:after="36"/>
              <w:jc w:val="center"/>
              <w:rPr/>
            </w:pPr>
            <w:r>
              <w:rPr/>
              <w:t>0.32</w:t>
            </w:r>
          </w:p>
        </w:tc>
      </w:tr>
      <w:tr>
        <w:trPr>
          <w:cnfStyle w:firstRow="1"/>
        </w:trPr>
        <w:tc>
          <w:tcPr>
            <w:tcW w:w="2880" w:type="dxa"/>
            <w:tcBorders>
              <w:bottom w:val="single" w:sz="6" w:space="0" w:color="000001"/>
              <w:insideH w:val="single" w:sz="6" w:space="0" w:color="000001"/>
            </w:tcBorders>
            <w:shd w:fill="auto" w:val="clear"/>
            <w:vAlign w:val="bottom"/>
          </w:tcPr>
          <w:p>
            <w:pPr>
              <w:pStyle w:val="Compact"/>
              <w:spacing w:before="36" w:after="36"/>
              <w:jc w:val="center"/>
              <w:rPr/>
            </w:pPr>
            <w:r>
              <w:rPr/>
              <w:t>平均超额贡献</w:t>
            </w:r>
            <w:r>
              <w:rPr/>
              <w:t>%</w:t>
            </w:r>
          </w:p>
        </w:tc>
        <w:tc>
          <w:tcPr>
            <w:tcW w:w="5760" w:type="dxa"/>
            <w:gridSpan w:val="2"/>
            <w:tcBorders>
              <w:bottom w:val="single" w:sz="6" w:space="0" w:color="000001"/>
              <w:insideH w:val="single" w:sz="6" w:space="0" w:color="000001"/>
            </w:tcBorders>
            <w:shd w:fill="auto" w:val="clear"/>
            <w:vAlign w:val="bottom"/>
          </w:tcPr>
          <w:p>
            <w:pPr>
              <w:pStyle w:val="Compact"/>
              <w:spacing w:before="36" w:after="36"/>
              <w:jc w:val="left"/>
              <w:rPr/>
            </w:pPr>
            <w:r>
              <w:rPr/>
              <w:t>95%</w:t>
            </w:r>
            <w:r>
              <w:rPr/>
              <w:t>置信区间</w:t>
            </w:r>
          </w:p>
        </w:tc>
      </w:tr>
      <w:tr>
        <w:trPr/>
        <w:tc>
          <w:tcPr>
            <w:tcW w:w="2880" w:type="dxa"/>
            <w:tcBorders/>
            <w:shd w:fill="auto" w:val="clear"/>
          </w:tcPr>
          <w:p>
            <w:pPr>
              <w:pStyle w:val="Compact"/>
              <w:spacing w:before="36" w:after="36"/>
              <w:jc w:val="center"/>
              <w:rPr/>
            </w:pPr>
            <w:r>
              <w:rPr/>
              <w:t>-0.32</w:t>
            </w:r>
          </w:p>
        </w:tc>
        <w:tc>
          <w:tcPr>
            <w:tcW w:w="5760" w:type="dxa"/>
            <w:gridSpan w:val="2"/>
            <w:tcBorders/>
            <w:shd w:fill="auto" w:val="clear"/>
          </w:tcPr>
          <w:p>
            <w:pPr>
              <w:pStyle w:val="Compact"/>
              <w:spacing w:before="36" w:after="36"/>
              <w:jc w:val="left"/>
              <w:rPr/>
            </w:pPr>
            <w:r>
              <w:rPr/>
            </w:r>
            <m:oMath xmlns:m="http://schemas.openxmlformats.org/officeDocument/2006/math"/>
          </w:p>
        </w:tc>
      </w:tr>
    </w:tbl>
    <w:p>
      <w:pPr>
        <w:pStyle w:val="TextBody"/>
        <w:rPr/>
      </w:pPr>
      <w:r>
        <w:rPr/>
        <w:t>从上表可以看出，丘栋荣在汇丰晋信大盘基金的行业配置管理中没有表现出明显的行业判断与配置的能力。同样的情形出现在他管理的另外一只基金当中。</w:t>
      </w:r>
    </w:p>
    <w:p>
      <w:pPr>
        <w:pStyle w:val="TableCaption"/>
        <w:rPr/>
      </w:pPr>
      <w:r>
        <w:rPr/>
        <w:t>汇丰晋信双核策略行业配置能力</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880"/>
        <w:gridCol w:w="2880"/>
        <w:gridCol w:w="2880"/>
      </w:tblGrid>
      <w:tr>
        <w:trPr>
          <w:cnfStyle w:firstRow="1"/>
        </w:trPr>
        <w:tc>
          <w:tcPr>
            <w:tcW w:w="2880" w:type="dxa"/>
            <w:tcBorders>
              <w:bottom w:val="single" w:sz="6" w:space="0" w:color="000001"/>
              <w:insideH w:val="single" w:sz="6" w:space="0" w:color="000001"/>
            </w:tcBorders>
            <w:shd w:fill="auto" w:val="clear"/>
            <w:vAlign w:val="bottom"/>
          </w:tcPr>
          <w:p>
            <w:pPr>
              <w:pStyle w:val="Compact"/>
              <w:spacing w:before="36" w:after="36"/>
              <w:jc w:val="left"/>
              <w:rPr/>
            </w:pPr>
            <w:r>
              <w:rPr/>
              <w:t>日期</w:t>
            </w:r>
          </w:p>
        </w:tc>
        <w:tc>
          <w:tcPr>
            <w:tcW w:w="2880" w:type="dxa"/>
            <w:tcBorders>
              <w:bottom w:val="single" w:sz="6" w:space="0" w:color="000001"/>
              <w:insideH w:val="single" w:sz="6" w:space="0" w:color="000001"/>
            </w:tcBorders>
            <w:shd w:fill="auto" w:val="clear"/>
            <w:vAlign w:val="bottom"/>
          </w:tcPr>
          <w:p>
            <w:pPr>
              <w:pStyle w:val="Compact"/>
              <w:spacing w:before="36" w:after="36"/>
              <w:jc w:val="center"/>
              <w:rPr/>
            </w:pPr>
            <w:r>
              <w:rPr/>
              <w:t>行业配置成功率</w:t>
            </w:r>
            <w:r>
              <w:rPr/>
              <w:t>%</w:t>
            </w:r>
          </w:p>
        </w:tc>
        <w:tc>
          <w:tcPr>
            <w:tcW w:w="2880" w:type="dxa"/>
            <w:tcBorders>
              <w:bottom w:val="single" w:sz="6" w:space="0" w:color="000001"/>
              <w:insideH w:val="single" w:sz="6" w:space="0" w:color="000001"/>
            </w:tcBorders>
            <w:shd w:fill="auto" w:val="clear"/>
            <w:vAlign w:val="bottom"/>
          </w:tcPr>
          <w:p>
            <w:pPr>
              <w:pStyle w:val="Compact"/>
              <w:spacing w:before="36" w:after="36"/>
              <w:jc w:val="center"/>
              <w:rPr/>
            </w:pPr>
            <w:r>
              <w:rPr/>
              <w:t>行业配置贡献超额收益率</w:t>
            </w:r>
            <w:r>
              <w:rPr/>
              <w:t>%</w:t>
            </w:r>
          </w:p>
        </w:tc>
      </w:tr>
      <w:tr>
        <w:trPr/>
        <w:tc>
          <w:tcPr>
            <w:tcW w:w="2880" w:type="dxa"/>
            <w:tcBorders/>
            <w:shd w:fill="auto" w:val="clear"/>
          </w:tcPr>
          <w:p>
            <w:pPr>
              <w:pStyle w:val="Compact"/>
              <w:spacing w:before="36" w:after="36"/>
              <w:jc w:val="left"/>
              <w:rPr/>
            </w:pPr>
            <w:r>
              <w:rPr/>
              <w:t>2015 Q1</w:t>
            </w:r>
          </w:p>
        </w:tc>
        <w:tc>
          <w:tcPr>
            <w:tcW w:w="2880" w:type="dxa"/>
            <w:tcBorders/>
            <w:shd w:fill="auto" w:val="clear"/>
          </w:tcPr>
          <w:p>
            <w:pPr>
              <w:pStyle w:val="Compact"/>
              <w:spacing w:before="36" w:after="36"/>
              <w:jc w:val="center"/>
              <w:rPr/>
            </w:pPr>
            <w:r>
              <w:rPr/>
              <w:t>16.67</w:t>
            </w:r>
          </w:p>
        </w:tc>
        <w:tc>
          <w:tcPr>
            <w:tcW w:w="2880" w:type="dxa"/>
            <w:tcBorders/>
            <w:shd w:fill="auto" w:val="clear"/>
          </w:tcPr>
          <w:p>
            <w:pPr>
              <w:pStyle w:val="Compact"/>
              <w:spacing w:before="36" w:after="36"/>
              <w:jc w:val="center"/>
              <w:rPr/>
            </w:pPr>
            <w:r>
              <w:rPr/>
              <w:t>-0.05</w:t>
            </w:r>
          </w:p>
        </w:tc>
      </w:tr>
      <w:tr>
        <w:trPr/>
        <w:tc>
          <w:tcPr>
            <w:tcW w:w="2880" w:type="dxa"/>
            <w:tcBorders/>
            <w:shd w:fill="auto" w:val="clear"/>
          </w:tcPr>
          <w:p>
            <w:pPr>
              <w:pStyle w:val="Compact"/>
              <w:spacing w:before="36" w:after="36"/>
              <w:jc w:val="left"/>
              <w:rPr/>
            </w:pPr>
            <w:r>
              <w:rPr/>
              <w:t>2015 Q2</w:t>
            </w:r>
          </w:p>
        </w:tc>
        <w:tc>
          <w:tcPr>
            <w:tcW w:w="2880" w:type="dxa"/>
            <w:tcBorders/>
            <w:shd w:fill="auto" w:val="clear"/>
          </w:tcPr>
          <w:p>
            <w:pPr>
              <w:pStyle w:val="Compact"/>
              <w:spacing w:before="36" w:after="36"/>
              <w:jc w:val="center"/>
              <w:rPr/>
            </w:pPr>
            <w:r>
              <w:rPr/>
              <w:t>12.50</w:t>
            </w:r>
          </w:p>
        </w:tc>
        <w:tc>
          <w:tcPr>
            <w:tcW w:w="2880" w:type="dxa"/>
            <w:tcBorders/>
            <w:shd w:fill="auto" w:val="clear"/>
          </w:tcPr>
          <w:p>
            <w:pPr>
              <w:pStyle w:val="Compact"/>
              <w:spacing w:before="36" w:after="36"/>
              <w:jc w:val="center"/>
              <w:rPr/>
            </w:pPr>
            <w:r>
              <w:rPr/>
              <w:t>-0.62</w:t>
            </w:r>
          </w:p>
        </w:tc>
      </w:tr>
      <w:tr>
        <w:trPr/>
        <w:tc>
          <w:tcPr>
            <w:tcW w:w="2880" w:type="dxa"/>
            <w:tcBorders/>
            <w:shd w:fill="auto" w:val="clear"/>
          </w:tcPr>
          <w:p>
            <w:pPr>
              <w:pStyle w:val="Compact"/>
              <w:spacing w:before="36" w:after="36"/>
              <w:jc w:val="left"/>
              <w:rPr/>
            </w:pPr>
            <w:r>
              <w:rPr/>
              <w:t>2015 Q4</w:t>
            </w:r>
          </w:p>
        </w:tc>
        <w:tc>
          <w:tcPr>
            <w:tcW w:w="2880" w:type="dxa"/>
            <w:tcBorders/>
            <w:shd w:fill="auto" w:val="clear"/>
          </w:tcPr>
          <w:p>
            <w:pPr>
              <w:pStyle w:val="Compact"/>
              <w:spacing w:before="36" w:after="36"/>
              <w:jc w:val="center"/>
              <w:rPr/>
            </w:pPr>
            <w:r>
              <w:rPr/>
              <w:t>-12.50</w:t>
            </w:r>
          </w:p>
        </w:tc>
        <w:tc>
          <w:tcPr>
            <w:tcW w:w="2880" w:type="dxa"/>
            <w:tcBorders/>
            <w:shd w:fill="auto" w:val="clear"/>
          </w:tcPr>
          <w:p>
            <w:pPr>
              <w:pStyle w:val="Compact"/>
              <w:spacing w:before="36" w:after="36"/>
              <w:jc w:val="center"/>
              <w:rPr/>
            </w:pPr>
            <w:r>
              <w:rPr/>
              <w:t>0.75</w:t>
            </w:r>
          </w:p>
        </w:tc>
      </w:tr>
      <w:tr>
        <w:trPr/>
        <w:tc>
          <w:tcPr>
            <w:tcW w:w="2880" w:type="dxa"/>
            <w:tcBorders/>
            <w:shd w:fill="auto" w:val="clear"/>
          </w:tcPr>
          <w:p>
            <w:pPr>
              <w:pStyle w:val="Compact"/>
              <w:spacing w:before="36" w:after="36"/>
              <w:jc w:val="left"/>
              <w:rPr/>
            </w:pPr>
            <w:r>
              <w:rPr/>
              <w:t>2016 Q1</w:t>
            </w:r>
          </w:p>
        </w:tc>
        <w:tc>
          <w:tcPr>
            <w:tcW w:w="2880" w:type="dxa"/>
            <w:tcBorders/>
            <w:shd w:fill="auto" w:val="clear"/>
          </w:tcPr>
          <w:p>
            <w:pPr>
              <w:pStyle w:val="Compact"/>
              <w:spacing w:before="36" w:after="36"/>
              <w:jc w:val="center"/>
              <w:rPr/>
            </w:pPr>
            <w:r>
              <w:rPr/>
              <w:t>11.11</w:t>
            </w:r>
          </w:p>
        </w:tc>
        <w:tc>
          <w:tcPr>
            <w:tcW w:w="2880" w:type="dxa"/>
            <w:tcBorders/>
            <w:shd w:fill="auto" w:val="clear"/>
          </w:tcPr>
          <w:p>
            <w:pPr>
              <w:pStyle w:val="Compact"/>
              <w:spacing w:before="36" w:after="36"/>
              <w:jc w:val="center"/>
              <w:rPr/>
            </w:pPr>
            <w:r>
              <w:rPr/>
              <w:t>-1.24</w:t>
            </w:r>
          </w:p>
        </w:tc>
      </w:tr>
      <w:tr>
        <w:trPr/>
        <w:tc>
          <w:tcPr>
            <w:tcW w:w="2880" w:type="dxa"/>
            <w:tcBorders/>
            <w:shd w:fill="auto" w:val="clear"/>
          </w:tcPr>
          <w:p>
            <w:pPr>
              <w:pStyle w:val="Compact"/>
              <w:spacing w:before="36" w:after="36"/>
              <w:jc w:val="left"/>
              <w:rPr/>
            </w:pPr>
            <w:r>
              <w:rPr/>
              <w:t>2016 Q2</w:t>
            </w:r>
          </w:p>
        </w:tc>
        <w:tc>
          <w:tcPr>
            <w:tcW w:w="2880" w:type="dxa"/>
            <w:tcBorders/>
            <w:shd w:fill="auto" w:val="clear"/>
          </w:tcPr>
          <w:p>
            <w:pPr>
              <w:pStyle w:val="Compact"/>
              <w:spacing w:before="36" w:after="36"/>
              <w:jc w:val="center"/>
              <w:rPr/>
            </w:pPr>
            <w:r>
              <w:rPr/>
              <w:t>-9.09</w:t>
            </w:r>
          </w:p>
        </w:tc>
        <w:tc>
          <w:tcPr>
            <w:tcW w:w="2880" w:type="dxa"/>
            <w:tcBorders/>
            <w:shd w:fill="auto" w:val="clear"/>
          </w:tcPr>
          <w:p>
            <w:pPr>
              <w:pStyle w:val="Compact"/>
              <w:spacing w:before="36" w:after="36"/>
              <w:jc w:val="center"/>
              <w:rPr/>
            </w:pPr>
            <w:r>
              <w:rPr/>
              <w:t>-0.34</w:t>
            </w:r>
          </w:p>
        </w:tc>
      </w:tr>
      <w:tr>
        <w:trPr/>
        <w:tc>
          <w:tcPr>
            <w:tcW w:w="2880" w:type="dxa"/>
            <w:tcBorders/>
            <w:shd w:fill="auto" w:val="clear"/>
          </w:tcPr>
          <w:p>
            <w:pPr>
              <w:pStyle w:val="Compact"/>
              <w:spacing w:before="36" w:after="36"/>
              <w:jc w:val="left"/>
              <w:rPr/>
            </w:pPr>
            <w:r>
              <w:rPr/>
              <w:t>2016 Q4</w:t>
            </w:r>
          </w:p>
        </w:tc>
        <w:tc>
          <w:tcPr>
            <w:tcW w:w="2880" w:type="dxa"/>
            <w:tcBorders/>
            <w:shd w:fill="auto" w:val="clear"/>
          </w:tcPr>
          <w:p>
            <w:pPr>
              <w:pStyle w:val="Compact"/>
              <w:spacing w:before="36" w:after="36"/>
              <w:jc w:val="center"/>
              <w:rPr/>
            </w:pPr>
            <w:r>
              <w:rPr/>
              <w:t>10.00</w:t>
            </w:r>
          </w:p>
        </w:tc>
        <w:tc>
          <w:tcPr>
            <w:tcW w:w="2880" w:type="dxa"/>
            <w:tcBorders/>
            <w:shd w:fill="auto" w:val="clear"/>
          </w:tcPr>
          <w:p>
            <w:pPr>
              <w:pStyle w:val="Compact"/>
              <w:spacing w:before="36" w:after="36"/>
              <w:jc w:val="center"/>
              <w:rPr/>
            </w:pPr>
            <w:r>
              <w:rPr/>
              <w:t>0.12</w:t>
            </w:r>
          </w:p>
        </w:tc>
      </w:tr>
      <w:tr>
        <w:trPr/>
        <w:tc>
          <w:tcPr>
            <w:tcW w:w="2880" w:type="dxa"/>
            <w:tcBorders/>
            <w:shd w:fill="auto" w:val="clear"/>
          </w:tcPr>
          <w:p>
            <w:pPr>
              <w:pStyle w:val="Compact"/>
              <w:spacing w:before="36" w:after="36"/>
              <w:jc w:val="left"/>
              <w:rPr/>
            </w:pPr>
            <w:r>
              <w:rPr/>
              <w:t>2017 Q1</w:t>
            </w:r>
          </w:p>
        </w:tc>
        <w:tc>
          <w:tcPr>
            <w:tcW w:w="2880" w:type="dxa"/>
            <w:tcBorders/>
            <w:shd w:fill="auto" w:val="clear"/>
          </w:tcPr>
          <w:p>
            <w:pPr>
              <w:pStyle w:val="Compact"/>
              <w:spacing w:before="36" w:after="36"/>
              <w:jc w:val="center"/>
              <w:rPr/>
            </w:pPr>
            <w:r>
              <w:rPr/>
              <w:t>-9.09</w:t>
            </w:r>
          </w:p>
        </w:tc>
        <w:tc>
          <w:tcPr>
            <w:tcW w:w="2880" w:type="dxa"/>
            <w:tcBorders/>
            <w:shd w:fill="auto" w:val="clear"/>
          </w:tcPr>
          <w:p>
            <w:pPr>
              <w:pStyle w:val="Compact"/>
              <w:spacing w:before="36" w:after="36"/>
              <w:jc w:val="center"/>
              <w:rPr/>
            </w:pPr>
            <w:r>
              <w:rPr/>
              <w:t>0.31</w:t>
            </w:r>
          </w:p>
        </w:tc>
      </w:tr>
      <w:tr>
        <w:trPr>
          <w:cnfStyle w:firstRow="1"/>
        </w:trPr>
        <w:tc>
          <w:tcPr>
            <w:tcW w:w="2880" w:type="dxa"/>
            <w:tcBorders>
              <w:bottom w:val="single" w:sz="6" w:space="0" w:color="000001"/>
              <w:insideH w:val="single" w:sz="6" w:space="0" w:color="000001"/>
            </w:tcBorders>
            <w:shd w:fill="auto" w:val="clear"/>
            <w:vAlign w:val="bottom"/>
          </w:tcPr>
          <w:p>
            <w:pPr>
              <w:pStyle w:val="Compact"/>
              <w:spacing w:before="36" w:after="36"/>
              <w:jc w:val="center"/>
              <w:rPr/>
            </w:pPr>
            <w:r>
              <w:rPr/>
              <w:t>平均超额贡献</w:t>
            </w:r>
            <w:r>
              <w:rPr/>
              <w:t>%</w:t>
            </w:r>
          </w:p>
        </w:tc>
        <w:tc>
          <w:tcPr>
            <w:tcW w:w="5760" w:type="dxa"/>
            <w:gridSpan w:val="2"/>
            <w:tcBorders>
              <w:bottom w:val="single" w:sz="6" w:space="0" w:color="000001"/>
              <w:insideH w:val="single" w:sz="6" w:space="0" w:color="000001"/>
            </w:tcBorders>
            <w:shd w:fill="auto" w:val="clear"/>
            <w:vAlign w:val="bottom"/>
          </w:tcPr>
          <w:p>
            <w:pPr>
              <w:pStyle w:val="Compact"/>
              <w:spacing w:before="36" w:after="36"/>
              <w:jc w:val="left"/>
              <w:rPr/>
            </w:pPr>
            <w:r>
              <w:rPr/>
              <w:t>95%</w:t>
            </w:r>
            <w:r>
              <w:rPr/>
              <w:t>置信区间</w:t>
            </w:r>
          </w:p>
        </w:tc>
      </w:tr>
      <w:tr>
        <w:trPr/>
        <w:tc>
          <w:tcPr>
            <w:tcW w:w="2880" w:type="dxa"/>
            <w:tcBorders/>
            <w:shd w:fill="auto" w:val="clear"/>
          </w:tcPr>
          <w:p>
            <w:pPr>
              <w:pStyle w:val="Compact"/>
              <w:spacing w:before="36" w:after="36"/>
              <w:jc w:val="center"/>
              <w:rPr/>
            </w:pPr>
            <w:r>
              <w:rPr/>
              <w:t>-0.15</w:t>
            </w:r>
          </w:p>
        </w:tc>
        <w:tc>
          <w:tcPr>
            <w:tcW w:w="5760" w:type="dxa"/>
            <w:gridSpan w:val="2"/>
            <w:tcBorders/>
            <w:shd w:fill="auto" w:val="clear"/>
          </w:tcPr>
          <w:p>
            <w:pPr>
              <w:pStyle w:val="Compact"/>
              <w:spacing w:before="36" w:after="36"/>
              <w:jc w:val="left"/>
              <w:rPr/>
            </w:pPr>
            <w:r>
              <w:rPr/>
            </w:r>
            <m:oMath xmlns:m="http://schemas.openxmlformats.org/officeDocument/2006/math"/>
          </w:p>
        </w:tc>
      </w:tr>
    </w:tbl>
    <w:p>
      <w:pPr>
        <w:pStyle w:val="Heading3"/>
        <w:rPr/>
      </w:pPr>
      <w:bookmarkStart w:id="7" w:name="择股能力"/>
      <w:bookmarkEnd w:id="7"/>
      <w:r>
        <w:rPr/>
        <w:t>择股能力</w:t>
      </w:r>
    </w:p>
    <w:p>
      <w:pPr>
        <w:pStyle w:val="FirstParagraph"/>
        <w:rPr/>
      </w:pPr>
      <w:r>
        <w:rPr/>
        <w:t>（稍后补充）</w:t>
      </w:r>
    </w:p>
    <w:p>
      <w:pPr>
        <w:pStyle w:val="Heading3"/>
        <w:rPr/>
      </w:pPr>
      <w:bookmarkStart w:id="8" w:name="择时能力"/>
      <w:bookmarkEnd w:id="8"/>
      <w:r>
        <w:rPr/>
        <w:t>择时能力</w:t>
      </w:r>
    </w:p>
    <w:p>
      <w:pPr>
        <w:pStyle w:val="FirstParagraph"/>
        <w:rPr/>
      </w:pPr>
      <w:r>
        <w:rPr/>
        <w:t>（稍后补充）</w:t>
      </w:r>
    </w:p>
    <w:p>
      <w:pPr>
        <w:pStyle w:val="Heading2"/>
        <w:rPr/>
      </w:pPr>
      <w:bookmarkStart w:id="9" w:name="工作及教育经历"/>
      <w:bookmarkEnd w:id="9"/>
      <w:r>
        <w:rPr/>
        <w:t>工作及教育经历</w:t>
      </w:r>
    </w:p>
    <w:p>
      <w:pPr>
        <w:pStyle w:val="Heading3"/>
        <w:rPr/>
      </w:pPr>
      <w:bookmarkStart w:id="10" w:name="教育经历"/>
      <w:bookmarkEnd w:id="10"/>
      <w:r>
        <w:rPr/>
        <w:t>教育经历</w:t>
      </w:r>
    </w:p>
    <w:p>
      <w:pPr>
        <w:pStyle w:val="Compact"/>
        <w:numPr>
          <w:ilvl w:val="0"/>
          <w:numId w:val="1"/>
        </w:numPr>
        <w:rPr/>
      </w:pPr>
      <w:r>
        <w:rPr/>
        <w:t xml:space="preserve">天津大学 </w:t>
      </w:r>
      <w:r>
        <w:rPr/>
        <w:t xml:space="preserve">(?-?) </w:t>
      </w:r>
      <w:r>
        <w:rPr/>
        <w:t>化工工程与工艺</w:t>
      </w:r>
    </w:p>
    <w:p>
      <w:pPr>
        <w:pStyle w:val="Compact"/>
        <w:numPr>
          <w:ilvl w:val="0"/>
          <w:numId w:val="1"/>
        </w:numPr>
        <w:rPr/>
      </w:pPr>
      <w:r>
        <w:rPr/>
        <w:t>长江商学院金融</w:t>
      </w:r>
      <w:r>
        <w:rPr/>
        <w:t>MBA (2013)</w:t>
      </w:r>
    </w:p>
    <w:p>
      <w:pPr>
        <w:pStyle w:val="Heading3"/>
        <w:rPr/>
      </w:pPr>
      <w:bookmarkStart w:id="11" w:name="工作经历"/>
      <w:bookmarkEnd w:id="11"/>
      <w:r>
        <w:rPr/>
        <w:t>工作经历</w:t>
      </w:r>
    </w:p>
    <w:p>
      <w:pPr>
        <w:pStyle w:val="Compact"/>
        <w:numPr>
          <w:ilvl w:val="0"/>
          <w:numId w:val="2"/>
        </w:numPr>
        <w:rPr/>
      </w:pPr>
      <w:r>
        <w:rPr/>
        <w:t>厦门宏发电声股份有限公司工程师</w:t>
      </w:r>
    </w:p>
    <w:p>
      <w:pPr>
        <w:pStyle w:val="Compact"/>
        <w:numPr>
          <w:ilvl w:val="0"/>
          <w:numId w:val="2"/>
        </w:numPr>
        <w:rPr/>
      </w:pPr>
      <w:r>
        <w:rPr/>
        <w:t>大闽食品</w:t>
      </w:r>
      <w:r>
        <w:rPr/>
        <w:t>(</w:t>
      </w:r>
      <w:r>
        <w:rPr/>
        <w:t>漳州</w:t>
      </w:r>
      <w:r>
        <w:rPr/>
        <w:t>)</w:t>
      </w:r>
      <w:r>
        <w:rPr/>
        <w:t>有限公司销售经理</w:t>
      </w:r>
    </w:p>
    <w:p>
      <w:pPr>
        <w:pStyle w:val="Compact"/>
        <w:numPr>
          <w:ilvl w:val="0"/>
          <w:numId w:val="2"/>
        </w:numPr>
        <w:rPr/>
      </w:pPr>
      <w:r>
        <w:rPr/>
        <w:t>群益国际控股有限公司上海代表处</w:t>
      </w:r>
      <w:r>
        <w:rPr/>
        <w:t>(</w:t>
      </w:r>
      <w:r>
        <w:rPr/>
        <w:t>台湾券商</w:t>
      </w:r>
      <w:r>
        <w:rPr/>
        <w:t xml:space="preserve">) </w:t>
      </w:r>
      <w:r>
        <w:rPr/>
        <w:t xml:space="preserve">研究部消费品行业研究员、研究组长 </w:t>
      </w:r>
      <w:r>
        <w:rPr/>
        <w:t>(2007)</w:t>
      </w:r>
    </w:p>
    <w:p>
      <w:pPr>
        <w:pStyle w:val="Compact"/>
        <w:numPr>
          <w:ilvl w:val="0"/>
          <w:numId w:val="2"/>
        </w:numPr>
        <w:rPr/>
      </w:pPr>
      <w:r>
        <w:rPr/>
        <w:t xml:space="preserve">汇丰晋信基金管理有限公司 </w:t>
      </w:r>
      <w:r>
        <w:rPr/>
        <w:t>(2010</w:t>
      </w:r>
      <w:r>
        <w:rPr/>
        <w:t>年</w:t>
      </w:r>
      <w:r>
        <w:rPr/>
        <w:t>9</w:t>
      </w:r>
      <w:r>
        <w:rPr/>
        <w:t>月</w:t>
      </w:r>
      <w:r>
        <w:rPr/>
        <w:t xml:space="preserve">) </w:t>
      </w:r>
      <w:r>
        <w:rPr/>
        <w:t>行业研究员、高级研究员、基金经理</w:t>
      </w:r>
      <w:r>
        <w:rPr/>
        <w:t>(2014</w:t>
      </w:r>
      <w:r>
        <w:rPr/>
        <w:t>年</w:t>
      </w:r>
      <w:r>
        <w:rPr/>
        <w:t xml:space="preserve">), </w:t>
      </w:r>
      <w:r>
        <w:rPr/>
        <w:t>管理产品市值占汇丰晋信</w:t>
      </w:r>
      <w:r>
        <w:rPr/>
        <w:t>40%.</w:t>
      </w:r>
    </w:p>
    <w:p>
      <w:pPr>
        <w:pStyle w:val="Heading2"/>
        <w:rPr/>
      </w:pPr>
      <w:bookmarkStart w:id="12" w:name="投资方法体系"/>
      <w:bookmarkEnd w:id="12"/>
      <w:r>
        <w:rPr/>
        <w:t>投资方法体系</w:t>
      </w:r>
    </w:p>
    <w:p>
      <w:pPr>
        <w:pStyle w:val="Heading3"/>
        <w:rPr/>
      </w:pPr>
      <w:bookmarkStart w:id="13" w:name="投资方法演化"/>
      <w:bookmarkEnd w:id="13"/>
      <w:r>
        <w:rPr/>
        <w:t>投资方法演化</w:t>
      </w:r>
    </w:p>
    <w:p>
      <w:pPr>
        <w:pStyle w:val="FirstParagraph"/>
        <w:rPr/>
      </w:pPr>
      <w:r>
        <w:rPr/>
        <w:t>根据公开资料</w:t>
      </w:r>
      <w:r>
        <w:rPr/>
        <w:t xml:space="preserve">, </w:t>
      </w:r>
      <w:r>
        <w:rPr/>
        <w:t>丘栋荣大学二年级接触证券行业</w:t>
      </w:r>
      <w:r>
        <w:rPr/>
        <w:t>, 2007</w:t>
      </w:r>
      <w:r>
        <w:rPr/>
        <w:t>年以教科书观点入行</w:t>
      </w:r>
      <w:r>
        <w:rPr/>
        <w:t xml:space="preserve">, </w:t>
      </w:r>
      <w:r>
        <w:rPr/>
        <w:t>学习并一度使用成长价值投资的方法</w:t>
      </w:r>
      <w:r>
        <w:rPr/>
        <w:t xml:space="preserve">, </w:t>
      </w:r>
      <w:r>
        <w:rPr/>
        <w:t>即通过发现与投资成长白马股</w:t>
      </w:r>
      <w:r>
        <w:rPr/>
        <w:t xml:space="preserve">, </w:t>
      </w:r>
      <w:r>
        <w:rPr/>
        <w:t>在伴随企业的成长的过程中获取投资收益</w:t>
      </w:r>
      <w:r>
        <w:rPr/>
        <w:t>. 2012</w:t>
      </w:r>
      <w:r>
        <w:rPr/>
        <w:t>年左右认识到成长的不确定性</w:t>
      </w:r>
      <w:r>
        <w:rPr/>
        <w:t xml:space="preserve">, </w:t>
      </w:r>
      <w:r>
        <w:rPr/>
        <w:t>进而意识到收益与风险的匹配关系</w:t>
      </w:r>
      <w:r>
        <w:rPr/>
        <w:t xml:space="preserve">, </w:t>
      </w:r>
      <w:r>
        <w:rPr/>
        <w:t>从而形成</w:t>
      </w:r>
      <w:r>
        <w:rPr/>
        <w:t>PB-ROE</w:t>
      </w:r>
      <w:r>
        <w:rPr/>
        <w:t>价值选股的投资方法</w:t>
      </w:r>
      <w:r>
        <w:rPr/>
        <w:t>.</w:t>
      </w:r>
    </w:p>
    <w:p>
      <w:pPr>
        <w:pStyle w:val="Heading3"/>
        <w:rPr/>
      </w:pPr>
      <w:bookmarkStart w:id="14" w:name="pb-roe"/>
      <w:bookmarkEnd w:id="14"/>
      <w:r>
        <w:rPr/>
        <w:t>投资方法：基于</w:t>
      </w:r>
      <w:r>
        <w:rPr/>
        <w:t>PB-ROE</w:t>
      </w:r>
      <w:r>
        <w:rPr/>
        <w:t>价值选股</w:t>
      </w:r>
    </w:p>
    <w:p>
      <w:pPr>
        <w:pStyle w:val="FirstParagraph"/>
        <w:rPr/>
      </w:pPr>
      <w:r>
        <w:rPr/>
        <w:t>基本信仰：</w:t>
      </w:r>
    </w:p>
    <w:p>
      <w:pPr>
        <w:pStyle w:val="Compact"/>
        <w:numPr>
          <w:ilvl w:val="0"/>
          <w:numId w:val="3"/>
        </w:numPr>
        <w:rPr/>
      </w:pPr>
      <w:r>
        <w:rPr/>
        <w:t xml:space="preserve">PB </w:t>
      </w:r>
      <w:r>
        <w:rPr/>
        <w:t>代表市场对于企业的资产价值评估以及估值溢价</w:t>
      </w:r>
    </w:p>
    <w:p>
      <w:pPr>
        <w:pStyle w:val="Compact"/>
        <w:numPr>
          <w:ilvl w:val="0"/>
          <w:numId w:val="3"/>
        </w:numPr>
        <w:rPr/>
      </w:pPr>
      <w:r>
        <w:rPr/>
        <w:t xml:space="preserve">ROE </w:t>
      </w:r>
      <w:r>
        <w:rPr/>
        <w:t>代表企业当期资产盈利能力</w:t>
      </w:r>
    </w:p>
    <w:p>
      <w:pPr>
        <w:pStyle w:val="FirstParagraph"/>
        <w:rPr/>
      </w:pPr>
      <w:r>
        <w:rPr/>
        <w:t>所以</w:t>
      </w:r>
      <w:r>
        <w:rPr/>
        <w:t>PB-ROE</w:t>
      </w:r>
      <w:r>
        <w:rPr/>
        <w:t>方法的核心思想是寻找市场估值溢价与企业资产盈利能力的不匹配关系</w:t>
      </w:r>
      <w:r>
        <w:rPr/>
        <w:t xml:space="preserve">, </w:t>
      </w:r>
      <w:r>
        <w:rPr/>
        <w:t>也就是所谓价值低估的股票</w:t>
      </w:r>
      <w:r>
        <w:rPr/>
        <w:t>.</w:t>
      </w:r>
    </w:p>
    <w:p>
      <w:pPr>
        <w:pStyle w:val="TextBody"/>
        <w:rPr/>
      </w:pPr>
      <w:r>
        <w:rPr/>
        <w:t>此处需要明确以下几点</w:t>
      </w:r>
      <w:r>
        <w:rPr/>
        <w:t>:</w:t>
      </w:r>
    </w:p>
    <w:p>
      <w:pPr>
        <w:pStyle w:val="Compact"/>
        <w:numPr>
          <w:ilvl w:val="0"/>
          <w:numId w:val="4"/>
        </w:numPr>
        <w:rPr/>
      </w:pPr>
      <w:r>
        <w:rPr/>
        <w:t>使用</w:t>
      </w:r>
      <w:r>
        <w:rPr/>
        <w:t xml:space="preserve">PB-ROE </w:t>
      </w:r>
      <w:r>
        <w:rPr/>
        <w:t>而不是传统的</w:t>
      </w:r>
      <w:r>
        <w:rPr/>
        <w:t xml:space="preserve">PE, </w:t>
      </w:r>
      <w:r>
        <w:rPr/>
        <w:t>是因为丘栋荣的</w:t>
      </w:r>
      <w:r>
        <w:rPr/>
        <w:t xml:space="preserve">"PB-ROE"= PE </w:t>
      </w:r>
      <w:r>
        <w:rPr/>
      </w:r>
      <m:oMath xmlns:m="http://schemas.openxmlformats.org/officeDocument/2006/math">
        <m:r>
          <w:rPr>
            <w:rFonts w:ascii="Cambria Math" w:hAnsi="Cambria Math"/>
          </w:rPr>
          <m:t xml:space="preserve">×</m:t>
        </m:r>
        <m:r>
          <w:rPr>
            <w:rFonts w:ascii="Cambria Math" w:hAnsi="Cambria Math"/>
          </w:rPr>
          <m:t xml:space="preserve">E</m:t>
        </m:r>
        <m:r>
          <w:rPr>
            <w:rFonts w:ascii="Cambria Math" w:hAnsi="Cambria Math"/>
          </w:rPr>
          <m:t xml:space="preserve">q</m:t>
        </m:r>
        <m:r>
          <w:rPr>
            <w:rFonts w:ascii="Cambria Math" w:hAnsi="Cambria Math"/>
          </w:rPr>
          <m:t xml:space="preserve">u</m:t>
        </m:r>
        <m:r>
          <w:rPr>
            <w:rFonts w:ascii="Cambria Math" w:hAnsi="Cambria Math"/>
          </w:rPr>
          <m:t xml:space="preserve">i</m:t>
        </m:r>
        <m:r>
          <w:rPr>
            <w:rFonts w:ascii="Cambria Math" w:hAnsi="Cambria Math"/>
          </w:rPr>
          <m:t xml:space="preserve">t</m:t>
        </m:r>
        <m:f>
          <m:fPr>
            <m:type m:val="lin"/>
          </m:fPr>
          <m:num>
            <m:r>
              <w:rPr>
                <w:rFonts w:ascii="Cambria Math" w:hAnsi="Cambria Math"/>
              </w:rPr>
              <m:t xml:space="preserve">y</m:t>
            </m:r>
          </m:num>
          <m:den>
            <m:r>
              <w:rPr>
                <w:rFonts w:ascii="Cambria Math" w:hAnsi="Cambria Math"/>
              </w:rPr>
              <m:t xml:space="preserve">B</m:t>
            </m:r>
          </m:den>
        </m:f>
        <m:r>
          <w:rPr>
            <w:rFonts w:ascii="Cambria Math" w:hAnsi="Cambria Math"/>
          </w:rPr>
          <m:t xml:space="preserve">o</m:t>
        </m:r>
        <m:r>
          <w:rPr>
            <w:rFonts w:ascii="Cambria Math" w:hAnsi="Cambria Math"/>
          </w:rPr>
          <m:t xml:space="preserve">o</m:t>
        </m:r>
        <m:r>
          <w:rPr>
            <w:rFonts w:ascii="Cambria Math" w:hAnsi="Cambria Math"/>
          </w:rPr>
          <m:t xml:space="preserve">k</m:t>
        </m:r>
      </m:oMath>
      <w:r>
        <w:rPr/>
        <w:t xml:space="preserve">, </w:t>
      </w:r>
      <w:r>
        <w:rPr/>
        <w:t>也就是考虑了资本杠杆率对于</w:t>
      </w:r>
      <w:r>
        <w:rPr/>
        <w:t>PE</w:t>
      </w:r>
      <w:r>
        <w:rPr/>
        <w:t>的影响</w:t>
      </w:r>
      <w:r>
        <w:rPr/>
        <w:t xml:space="preserve">, </w:t>
      </w:r>
      <w:r>
        <w:rPr/>
        <w:t>做了某种程度上的修正</w:t>
      </w:r>
      <w:r>
        <w:rPr/>
        <w:t>.</w:t>
      </w:r>
    </w:p>
    <w:p>
      <w:pPr>
        <w:pStyle w:val="Compact"/>
        <w:numPr>
          <w:ilvl w:val="0"/>
          <w:numId w:val="4"/>
        </w:numPr>
        <w:rPr/>
      </w:pPr>
      <w:r>
        <w:rPr/>
        <w:t>意识到资产的会计价值以及盈利数据的某种可操作性</w:t>
      </w:r>
      <w:r>
        <w:rPr/>
        <w:t xml:space="preserve">, </w:t>
      </w:r>
      <w:r>
        <w:rPr/>
        <w:t>丘栋荣在使用</w:t>
      </w:r>
      <w:r>
        <w:rPr/>
        <w:t>PB-ROE</w:t>
      </w:r>
      <w:r>
        <w:rPr/>
        <w:t>时</w:t>
      </w:r>
      <w:r>
        <w:rPr/>
        <w:t xml:space="preserve">, </w:t>
      </w:r>
      <w:r>
        <w:rPr/>
        <w:t>不是作为一个绝对指标像量化交易策略来进行</w:t>
      </w:r>
      <w:r>
        <w:rPr/>
        <w:t>.</w:t>
      </w:r>
    </w:p>
    <w:p>
      <w:pPr>
        <w:pStyle w:val="FirstParagraph"/>
        <w:rPr/>
      </w:pPr>
      <w:r>
        <w:rPr/>
        <w:t>因其本身有行业研究员的背景</w:t>
      </w:r>
      <w:r>
        <w:rPr/>
        <w:t xml:space="preserve">, </w:t>
      </w:r>
      <w:r>
        <w:rPr/>
        <w:t>所以</w:t>
      </w:r>
      <w:r>
        <w:rPr/>
        <w:t>PB-ROE</w:t>
      </w:r>
      <w:r>
        <w:rPr/>
        <w:t>是作为一种必要条件来促使他进行特定股票的分析与研究</w:t>
      </w:r>
      <w:r>
        <w:rPr/>
        <w:t xml:space="preserve">. </w:t>
      </w:r>
      <w:r>
        <w:rPr/>
        <w:t>而在这个过程中</w:t>
      </w:r>
      <w:r>
        <w:rPr/>
        <w:t xml:space="preserve">, </w:t>
      </w:r>
      <w:r>
        <w:rPr/>
        <w:t>他特别强调了</w:t>
      </w:r>
      <w:r>
        <w:rPr/>
        <w:t>"</w:t>
      </w:r>
      <w:r>
        <w:rPr/>
        <w:t>风险溢价</w:t>
      </w:r>
      <w:r>
        <w:rPr/>
        <w:t>"</w:t>
      </w:r>
    </w:p>
    <w:p>
      <w:pPr>
        <w:pStyle w:val="Heading3"/>
        <w:rPr/>
      </w:pPr>
      <w:bookmarkStart w:id="15" w:name="投资方法基于风险溢价的资产配置策略"/>
      <w:bookmarkEnd w:id="15"/>
      <w:r>
        <w:rPr/>
        <w:t>投资方法：基于风险溢价的资产配置策略</w:t>
      </w:r>
    </w:p>
    <w:p>
      <w:pPr>
        <w:pStyle w:val="FirstParagraph"/>
        <w:rPr/>
      </w:pPr>
      <w:r>
        <w:rPr/>
        <w:t>所谓风险溢价</w:t>
      </w:r>
      <w:r>
        <w:rPr/>
        <w:t xml:space="preserve">, </w:t>
      </w:r>
      <w:r>
        <w:rPr/>
        <w:t>是指金融产品因为本身对应了特定的风险</w:t>
      </w:r>
      <w:r>
        <w:rPr/>
        <w:t xml:space="preserve">, </w:t>
      </w:r>
      <w:r>
        <w:rPr/>
        <w:t>从而在收益上要求的高于无风险收益水平的超额收益</w:t>
      </w:r>
      <w:r>
        <w:rPr/>
        <w:t xml:space="preserve">. </w:t>
      </w:r>
      <w:r>
        <w:rPr/>
        <w:t>所以风险溢价包含了两个重要因素</w:t>
      </w:r>
    </w:p>
    <w:p>
      <w:pPr>
        <w:pStyle w:val="Compact"/>
        <w:numPr>
          <w:ilvl w:val="0"/>
          <w:numId w:val="5"/>
        </w:numPr>
        <w:rPr/>
      </w:pPr>
      <w:r>
        <w:rPr/>
        <w:t>无风险水平</w:t>
      </w:r>
      <w:r>
        <w:rPr/>
        <w:t>,</w:t>
      </w:r>
    </w:p>
    <w:p>
      <w:pPr>
        <w:pStyle w:val="Compact"/>
        <w:numPr>
          <w:ilvl w:val="0"/>
          <w:numId w:val="5"/>
        </w:numPr>
        <w:rPr/>
      </w:pPr>
      <w:r>
        <w:rPr/>
        <w:t>金融产品对应的风险</w:t>
      </w:r>
      <w:r>
        <w:rPr/>
        <w:t>.</w:t>
      </w:r>
    </w:p>
    <w:p>
      <w:pPr>
        <w:pStyle w:val="FirstParagraph"/>
        <w:rPr/>
      </w:pPr>
      <w:r>
        <w:rPr/>
        <w:t>所以从宏观上风险溢价水平高</w:t>
      </w:r>
      <w:r>
        <w:rPr/>
        <w:t xml:space="preserve">, </w:t>
      </w:r>
      <w:r>
        <w:rPr/>
        <w:t>则促使提高仓位或者超配某些类别的资产</w:t>
      </w:r>
      <w:r>
        <w:rPr/>
        <w:t xml:space="preserve">, </w:t>
      </w:r>
      <w:r>
        <w:rPr/>
        <w:t>反之</w:t>
      </w:r>
      <w:r>
        <w:rPr/>
        <w:t xml:space="preserve">, </w:t>
      </w:r>
      <w:r>
        <w:rPr/>
        <w:t>则低配</w:t>
      </w:r>
      <w:r>
        <w:rPr/>
        <w:t xml:space="preserve">. </w:t>
      </w:r>
      <w:r>
        <w:rPr/>
        <w:t>估计宏观风险溢价水平的时候</w:t>
      </w:r>
      <w:r>
        <w:rPr/>
        <w:t xml:space="preserve">, </w:t>
      </w:r>
      <w:r>
        <w:rPr/>
        <w:t>丘栋荣直接使用了指数当前估值与</w:t>
      </w:r>
      <w:r>
        <w:rPr/>
        <w:t>10</w:t>
      </w:r>
      <w:r>
        <w:rPr/>
        <w:t>年期国债收益的差值作为指数的风险溢价</w:t>
      </w:r>
      <w:r>
        <w:rPr/>
        <w:t xml:space="preserve">. </w:t>
      </w:r>
      <w:r>
        <w:rPr/>
        <w:t>微观上</w:t>
      </w:r>
      <w:r>
        <w:rPr/>
        <w:t xml:space="preserve">, </w:t>
      </w:r>
      <w:r>
        <w:rPr/>
        <w:t>则更具体的考虑股票对应的风险</w:t>
      </w:r>
      <w:r>
        <w:rPr/>
        <w:t xml:space="preserve">, </w:t>
      </w:r>
      <w:r>
        <w:rPr/>
        <w:t>在</w:t>
      </w:r>
      <w:r>
        <w:rPr/>
        <w:t>PB-ROE</w:t>
      </w:r>
      <w:r>
        <w:rPr/>
        <w:t>选股方法的基础上</w:t>
      </w:r>
      <w:r>
        <w:rPr/>
        <w:t xml:space="preserve">, </w:t>
      </w:r>
      <w:r>
        <w:rPr/>
        <w:t>进一步筛选风险溢价较高的股票</w:t>
      </w:r>
      <w:r>
        <w:rPr/>
        <w:t xml:space="preserve">. </w:t>
      </w:r>
      <w:r>
        <w:rPr/>
        <w:t>如果自下而上的</w:t>
      </w:r>
      <w:r>
        <w:rPr/>
        <w:t xml:space="preserve">, </w:t>
      </w:r>
      <w:r>
        <w:rPr/>
        <w:t>无法选出足够分散的股票</w:t>
      </w:r>
      <w:r>
        <w:rPr/>
        <w:t xml:space="preserve">, </w:t>
      </w:r>
      <w:r>
        <w:rPr/>
        <w:t>则降低整体的仓位</w:t>
      </w:r>
      <w:r>
        <w:rPr/>
        <w:t>.</w:t>
      </w:r>
    </w:p>
    <w:p>
      <w:pPr>
        <w:pStyle w:val="Heading3"/>
        <w:rPr/>
      </w:pPr>
      <w:bookmarkStart w:id="16" w:name="风控方法基于业绩归因与风险归因"/>
      <w:bookmarkEnd w:id="16"/>
      <w:r>
        <w:rPr/>
        <w:t>风控方法：基于业绩归因与风险归因</w:t>
      </w:r>
    </w:p>
    <w:p>
      <w:pPr>
        <w:pStyle w:val="FirstParagraph"/>
        <w:rPr/>
      </w:pPr>
      <w:r>
        <w:rPr/>
        <w:t>借助于公司提供的平台</w:t>
      </w:r>
      <w:r>
        <w:rPr/>
        <w:t xml:space="preserve">, </w:t>
      </w:r>
      <w:r>
        <w:rPr/>
        <w:t>丘栋荣在进行资产配置和风险管控的时候</w:t>
      </w:r>
      <w:r>
        <w:rPr/>
        <w:t xml:space="preserve">, </w:t>
      </w:r>
      <w:r>
        <w:rPr/>
        <w:t>强调使用归因分析的方法</w:t>
      </w:r>
      <w:r>
        <w:rPr/>
        <w:t xml:space="preserve">. </w:t>
      </w:r>
      <w:r>
        <w:rPr/>
        <w:t>这使得他的资产配置方法上多少出现了风险平价策略的影子</w:t>
      </w:r>
      <w:r>
        <w:rPr/>
        <w:t xml:space="preserve">. </w:t>
      </w:r>
      <w:r>
        <w:rPr/>
        <w:t>尽管对于风险平价策略还是有一定的争议</w:t>
      </w:r>
      <w:r>
        <w:rPr/>
        <w:t xml:space="preserve">, </w:t>
      </w:r>
      <w:r>
        <w:rPr/>
        <w:t>但是一个不可否认的基本事实是风险平价策略确实相对于一般的主动性策略更多的考虑到了风险的因素</w:t>
      </w:r>
      <w:r>
        <w:rPr/>
        <w:t xml:space="preserve">, </w:t>
      </w:r>
      <w:r>
        <w:rPr/>
        <w:t>因而在全球经济大衰退的背景下的确能够赢得相对稳健的回报</w:t>
      </w:r>
      <w:r>
        <w:rPr/>
        <w:t>.</w:t>
      </w:r>
    </w:p>
    <w:p>
      <w:pPr>
        <w:pStyle w:val="Heading2"/>
        <w:rPr/>
      </w:pPr>
      <w:bookmarkStart w:id="17" w:name="评价"/>
      <w:bookmarkEnd w:id="17"/>
      <w:r>
        <w:rPr/>
        <w:t>评价</w:t>
      </w:r>
    </w:p>
    <w:p>
      <w:pPr>
        <w:pStyle w:val="FirstParagraph"/>
        <w:rPr/>
      </w:pPr>
      <w:r>
        <w:rPr/>
        <w:t>丘栋荣是最近高光的基金管理人，虽然从业时间不是特别长，但是在</w:t>
      </w:r>
      <w:r>
        <w:rPr/>
        <w:t>2014</w:t>
      </w:r>
      <w:r>
        <w:rPr/>
        <w:t>年至今的牛熊装换的市场中交出了亮眼的成绩。我们基于公开信息，进行深度的科学分析，结合与其面对面的交流，做出如下评判：</w:t>
      </w:r>
    </w:p>
    <w:p>
      <w:pPr>
        <w:pStyle w:val="Compact"/>
        <w:numPr>
          <w:ilvl w:val="0"/>
          <w:numId w:val="6"/>
        </w:numPr>
        <w:rPr/>
      </w:pPr>
      <w:r>
        <w:rPr/>
        <w:t>丘栋荣的低换手、长持有的交易风格，和低</w:t>
      </w:r>
      <w:r>
        <w:rPr/>
        <w:t>PB</w:t>
      </w:r>
      <w:r>
        <w:rPr/>
        <w:t>与</w:t>
      </w:r>
      <w:r>
        <w:rPr/>
        <w:t>PE</w:t>
      </w:r>
      <w:r>
        <w:rPr/>
        <w:t>的持股特点特别的切合了</w:t>
      </w:r>
      <w:r>
        <w:rPr/>
        <w:t>2015</w:t>
      </w:r>
      <w:r>
        <w:rPr/>
        <w:t>年股灾以来投资者风险偏好降低，市场风格少变化的行情特点；</w:t>
      </w:r>
    </w:p>
    <w:p>
      <w:pPr>
        <w:pStyle w:val="Compact"/>
        <w:numPr>
          <w:ilvl w:val="0"/>
          <w:numId w:val="6"/>
        </w:numPr>
        <w:rPr/>
      </w:pPr>
      <w:r>
        <w:rPr/>
        <w:t>作为一名主动性基金管理人，丘栋荣是一名偏“稳健型”的主动管理人；</w:t>
      </w:r>
    </w:p>
    <w:p>
      <w:pPr>
        <w:pStyle w:val="Compact"/>
        <w:numPr>
          <w:ilvl w:val="0"/>
          <w:numId w:val="6"/>
        </w:numPr>
        <w:rPr/>
      </w:pPr>
      <w:r>
        <w:rPr/>
        <w:t>丘栋荣的</w:t>
      </w:r>
      <w:r>
        <w:rPr/>
        <w:t>PB-ROE</w:t>
      </w:r>
      <w:r>
        <w:rPr/>
        <w:t>选股方法，强调估值与价值的对应、风险与溢价的平衡，在市场趋于价值投资的过程中先行一步，取得了亮眼的成绩；</w:t>
      </w:r>
    </w:p>
    <w:p>
      <w:pPr>
        <w:pStyle w:val="Compact"/>
        <w:numPr>
          <w:ilvl w:val="0"/>
          <w:numId w:val="6"/>
        </w:numPr>
        <w:rPr/>
      </w:pPr>
      <w:r>
        <w:rPr/>
        <w:t>遗憾的是丘栋荣并不具备专业的经济学背景或者丰富的跨市场、跨行业经验，使得他的大类资产以及行业配置能力不强。当市场进一步成熟，原本相对持续的</w:t>
      </w:r>
      <w:r>
        <w:rPr/>
        <w:t>alpha</w:t>
      </w:r>
      <w:r>
        <w:rPr/>
        <w:t>迅速的转变为</w:t>
      </w:r>
      <w:r>
        <w:rPr/>
        <w:t>smart beta</w:t>
      </w:r>
      <w:r>
        <w:rPr/>
        <w:t>之后，其持续的超额表现能力将会收到挑战；</w:t>
      </w:r>
    </w:p>
    <w:p>
      <w:pPr>
        <w:pStyle w:val="Compact"/>
        <w:numPr>
          <w:ilvl w:val="0"/>
          <w:numId w:val="6"/>
        </w:numPr>
        <w:spacing w:before="36" w:after="36"/>
        <w:rPr/>
      </w:pPr>
      <w:r>
        <w:rPr/>
        <w:t>同时，市场在归于价值投资的过程中并非单向而行的，中国经济的成熟化，或者说寡头化，也不是一蹴而就的。在这当中，仍然会有一定时期的、持续的成长型的机会。丘栋荣当前使用的选股方法可能并不适合成长型风格的市场，这是他未来可能面临的又一个挑战。</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Pages>
  <Words>83</Words>
  <CharactersWithSpaces>475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2017-07-26T12:41:24Z</dcterms:created>
  <dc:creator/>
  <dc:description/>
  <dc:language>en-US</dc:language>
  <cp:lastModifiedBy/>
  <dcterms:modified xsi:type="dcterms:W3CDTF">2017-07-26T12:41:24Z</dcterms:modified>
  <cp:revision>0</cp:revision>
  <dc:subject/>
  <dc:title>分析XXX-技术报告</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