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FAD81">
      <w:pPr>
        <w:pStyle w:val="21"/>
        <w:framePr w:w="0" w:hSpace="0" w:vSpace="0" w:wrap="auto" w:vAnchor="margin" w:hAnchor="text" w:xAlign="left" w:yAlign="inline"/>
        <w:jc w:val="center"/>
      </w:pPr>
      <w:r>
        <w:rPr>
          <w:rFonts w:ascii="Times New Roman" w:hAnsi="Times New Roman" w:eastAsia="Songti SC"/>
          <w:b w:val="0"/>
          <w:i w:val="0"/>
          <w:color w:val="000000"/>
          <w:sz w:val="20"/>
        </w:rPr>
        <w:t>Interpretable Polarimetric Scattering Representation for PolSAR Ship Detection via Knowledge-Distillation-Guided Symbolic Regression</w:t>
      </w:r>
    </w:p>
    <w:p w14:paraId="47CA69F1">
      <w:pPr>
        <w:widowControl w:val="0"/>
        <w:spacing w:line="252" w:lineRule="auto"/>
        <w:jc w:val="both"/>
        <w:rPr>
          <w:color w:val="000000"/>
          <w:sz w:val="18"/>
          <w:szCs w:val="18"/>
        </w:rPr>
      </w:pPr>
    </w:p>
    <w:p w14:paraId="0000000D">
      <w:pPr>
        <w:spacing w:after="200"/>
        <w:ind w:left="0" w:leftChars="0" w:right="0" w:rightChars="0" w:firstLine="0" w:firstLineChars="0"/>
        <w:jc w:val="center"/>
        <w:rPr>
          <w:rFonts w:eastAsiaTheme="minorEastAsia"/>
          <w:sz w:val="18"/>
          <w:szCs w:val="18"/>
          <w:lang w:eastAsia="zh-CN"/>
        </w:rPr>
      </w:pPr>
      <w:bookmarkStart w:id="0" w:name="_heading=h.gjdgxs" w:colFirst="0" w:colLast="0"/>
      <w:bookmarkEnd w:id="0"/>
      <w:r>
        <w:rPr>
          <w:rFonts w:ascii="Times New Roman" w:hAnsi="Times New Roman" w:eastAsia="Songti SC"/>
          <w:color w:val="000000"/>
          <w:sz w:val="20"/>
          <w:szCs w:val="22"/>
        </w:rPr>
        <w:t>Haomiao Liu, Sinong Quan, and Zhihao Cai</w:t>
      </w:r>
      <w:r>
        <w:rPr>
          <w:rFonts w:ascii="Times New Roman" w:hAnsi="Times New Roman"/>
          <w:sz w:val="20"/>
          <w:vertAlign w:val="superscript"/>
        </w:rPr>
        <w:t>1</w:t>
      </w:r>
    </w:p>
    <w:p w14:paraId="06590BF3">
      <w:pPr>
        <w:spacing w:before="20" w:after="320"/>
        <w:jc w:val="both"/>
        <w:rPr>
          <w:rFonts w:eastAsia="宋体"/>
          <w:b/>
          <w:i/>
          <w:color w:val="000000"/>
          <w:sz w:val="18"/>
          <w:szCs w:val="18"/>
          <w:lang w:eastAsia="zh-CN"/>
        </w:rPr>
        <w:sectPr>
          <w:headerReference r:id="rId5" w:type="default"/>
          <w:footerReference r:id="rId6" w:type="default"/>
          <w:footnotePr>
            <w:pos w:val="pageBottom"/>
          </w:footnotePr>
          <w:type w:val="continuous"/>
          <w:pgSz w:w="12240" w:h="15840"/>
          <w:pgMar w:top="1008" w:right="936" w:bottom="1008" w:left="936" w:header="432" w:footer="432" w:gutter="0"/>
          <w:pgNumType w:start="1"/>
          <w:cols w:space="288" w:num="1"/>
        </w:sectPr>
      </w:pPr>
    </w:p>
    <w:p w14:paraId="4430B388">
      <w:pPr>
        <w:spacing w:before="20"/>
        <w:ind w:firstLine="202"/>
        <w:jc w:val="both"/>
        <w:rPr>
          <w:b/>
          <w:color w:val="000000"/>
          <w:sz w:val="18"/>
          <w:szCs w:val="18"/>
        </w:rPr>
      </w:pPr>
      <w:r>
        <w:rPr>
          <w:rFonts w:ascii="Times New Roman" w:hAnsi="Times New Roman" w:eastAsia="Songti SC"/>
          <w:b w:val="0"/>
          <w:i w:val="0"/>
          <w:sz w:val="20"/>
        </w:rPr>
        <w:t xml:space="preserve">Polarimetric synthetic aperture radar (PolSAR) provides complete target scattering information, but ship detection still depends on coarse box labels, handcrafted scattering features, or opaque deep detectors. This article presents a knowledge-distillation-guided symbolic-regression method that learns a closed-form polarimetric descriptor from soft pixel labels. A lightweight multilayer perceptron teacher converts threshold-derived hard labels into continuous ship-membership labels, and a bi-objective genetic-programming search fits these labels under an accuracy-complexity Pareto criterion. The selected six-node descriptor is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 exp(-c/(</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Since the exponential is strictly monotone,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and the raw sum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have identical ranking performance (AUC 0.9772); the descriptor provides a bounded, closed-form output that is easier to calibrate and embed. In the three-channel input,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raises the mAP@0.5 of YOLOv8n from 80.0% to 82.5% on PSDD and improves mAP@0.5 for four YOLO detectors. The comparison is limited to the YOLO family, and no cross-family generality is claimed. A box-gated rule uses the descriptor for pixel-level extraction. On the third-party IPSD dataset, the descriptor reaches an AUC of 97.5% after a single scalar calibration, indicating cross-sensor consistency rather than zero-shot transfer. The method offers a lightweight and inspectable approach to descriptor learning for PolSAR ship detection.</w:t>
      </w:r>
      <w:r>
        <w:rPr>
          <w:rFonts w:ascii="Times New Roman" w:hAnsi="Times New Roman" w:eastAsia="Songti SC"/>
          <w:vertAlign w:val="superscript"/>
          <w:color w:val="FFFFFF"/>
          <w:sz w:val="2"/>
          <w:szCs w:val="2"/>
        </w:rPr>
        <w:footnoteReference w:id="0"/>
      </w:r>
    </w:p>
    <w:p w14:paraId="1B643D01"/>
    <w:p w14:paraId="4B5FE2A0">
      <w:pPr>
        <w:jc w:val="both"/>
        <w:rPr>
          <w:b/>
          <w:sz w:val="18"/>
          <w:szCs w:val="18"/>
        </w:rPr>
      </w:pPr>
      <w:r>
        <w:rPr>
          <w:rFonts w:ascii="Times New Roman" w:hAnsi="Times New Roman" w:eastAsia="Songti SC"/>
          <w:sz w:val="20"/>
        </w:rPr>
        <w:t>Index Terms—Interpretable representation, knowledge distillation, polarimetric synthetic aperture radar (PolSAR), ship detection, soft labels, symbolic regression.</w:t>
      </w:r>
    </w:p>
    <w:p w14:paraId="59F2D0B6">
      <w:pPr>
        <w:pStyle w:val="2"/>
      </w:pPr>
      <w:r>
        <w:rPr>
          <w:rFonts w:ascii="Times New Roman" w:hAnsi="Times New Roman" w:eastAsia="Songti SC"/>
          <w:sz w:val="20"/>
        </w:rPr>
        <w:t>I. INTRODUCTION</w:t>
      </w:r>
    </w:p>
    <w:p w14:paraId="43794709">
      <w:pPr>
        <w:keepNext/>
        <w:framePr w:dropCap="drop" w:lines="3" w:wrap="around" w:vAnchor="text" w:hAnchor="text"/>
        <w:spacing w:line="724" w:lineRule="exact"/>
        <w:jc w:val="both"/>
        <w:textAlignment w:val="baseline"/>
        <w:rPr>
          <w:rFonts w:eastAsia="宋体"/>
          <w:smallCaps/>
          <w:color w:val="000000"/>
          <w:position w:val="-9"/>
          <w:sz w:val="96"/>
          <w:szCs w:val="18"/>
          <w:lang w:eastAsia="zh-CN"/>
        </w:rPr>
      </w:pPr>
      <w:r>
        <w:rPr>
          <w:rFonts w:hint="eastAsia" w:eastAsia="Songti SC" w:ascii="Times New Roman" w:hAnsi="Times New Roman"/>
          <w:smallCaps/>
          <w:color w:val="000000"/>
          <w:position w:val="-9"/>
          <w:sz w:val="20"/>
          <w:szCs w:val="18"/>
          <w:lang w:eastAsia="zh-CN"/>
        </w:rPr>
        <w:t>W</w:t>
      </w:r>
    </w:p>
    <w:p w14:paraId="5B6297E3">
      <w:pPr>
        <w:widowControl w:val="0"/>
        <w:spacing w:line="252" w:lineRule="auto"/>
        <w:jc w:val="both"/>
        <w:rPr>
          <w:color w:val="000000"/>
          <w:lang w:eastAsia="zh-CN"/>
        </w:rPr>
      </w:pPr>
      <w:r>
        <w:rPr>
          <w:rFonts w:hint="eastAsia" w:ascii="Times New Roman" w:hAnsi="Times New Roman" w:eastAsia="Songti SC"/>
          <w:color w:val="000000"/>
          <w:sz w:val="20"/>
          <w:lang w:eastAsia="zh-CN"/>
        </w:rPr>
        <w:t>ITH the continuous growth of marine resource exploitation and maritime traffic, ship detection has become a core technology of civilian remote sensing applications and maritime security tasks [1], [2]. Synthetic aperture radar (SAR), with its all-day, all-weather high-resolution imaging capability, has become one of the primary sensors for ocean remote sensing [3]. The scattering dimensionality that a conventional single-polarization SAR can provide is limited and can hardly support refined observation tasks. Polarimetric SAR (PolSAR) transmits and receives electromagnetic waves of different polarization states, acquires the complete scattering information of a target, and distinguishes targets by the differences in polarimetric properties and scattering mechanisms, which gives it unique advantages in ocean applications [4]. Optimized polarization modes such as generalized compact polarimetry have further improved the ship-sea contrast [5].</w:t>
      </w:r>
    </w:p>
    <w:p w14:paraId="049EE9DF">
      <w:pPr>
        <w:widowControl w:val="0"/>
        <w:spacing w:line="252" w:lineRule="auto"/>
        <w:ind w:firstLine="202"/>
        <w:jc w:val="both"/>
        <w:rPr>
          <w:color w:val="000000"/>
          <w:lang w:eastAsia="zh-CN"/>
        </w:rPr>
      </w:pPr>
      <w:r>
        <w:rPr>
          <w:rFonts w:ascii="Times New Roman" w:hAnsi="Times New Roman" w:eastAsia="Songti SC"/>
          <w:color w:val="000000"/>
          <w:sz w:val="20"/>
          <w:lang w:eastAsia="zh-CN"/>
        </w:rPr>
        <w:t>Existing PolSAR ship detection methods fall into three categories: statistical-distribution-based methods, scattering-characteristic-based methods, and deep-learning-based methods.</w:t>
      </w:r>
    </w:p>
    <w:p w14:paraId="5D7CBA53">
      <w:pPr>
        <w:widowControl w:val="0"/>
        <w:spacing w:line="252" w:lineRule="auto"/>
        <w:ind w:firstLine="202"/>
        <w:jc w:val="both"/>
        <w:rPr>
          <w:color w:val="000000"/>
          <w:lang w:eastAsia="zh-CN"/>
        </w:rPr>
      </w:pPr>
      <w:r>
        <w:rPr>
          <w:rFonts w:ascii="Times New Roman" w:hAnsi="Times New Roman" w:eastAsia="Songti SC"/>
          <w:sz w:val="20"/>
        </w:rPr>
        <w:t>Statistical-distribution-based methods model sea clutter as a specific probability distribution and set the threshold adaptively by parameter estimation, which realizes constant-false-alarm-rate (CFAR) detection with a strict and controllable decision rule. di Bisceglie et al. established the approach with an extended-target CFAR detector for the extended targets that ships form in high-resolution SAR [6]; Gao and Shi suppressed nonhomogeneous sea clutter with a polarimetric notch-filter CFAR detector [7]; Larson et al. and Liu et al. developed spatial-polarimetric and multilook polarimetric whitening filters that exploit spatial and polarimetric information to suppress clutter and speckle [8], [9]; and Fan et al. described multilook polarimetric data with a K-Wishart distribution for fully automatic detection [10]. Such methods are reliable under uniform sea conditions but depend on a prior distribution; in heterogeneous near-shore scenes they suffer from model mismatch and threshold drift, and their performance degrades noticeably.</w:t>
      </w:r>
    </w:p>
    <w:p w14:paraId="65F81B80">
      <w:pPr>
        <w:widowControl w:val="0"/>
        <w:spacing w:line="252" w:lineRule="auto"/>
        <w:ind w:firstLine="202"/>
        <w:jc w:val="both"/>
        <w:rPr>
          <w:color w:val="000000"/>
          <w:lang w:eastAsia="zh-CN"/>
        </w:rPr>
      </w:pPr>
      <w:r>
        <w:rPr>
          <w:rFonts w:ascii="Times New Roman" w:hAnsi="Times New Roman" w:eastAsia="Songti SC"/>
          <w:sz w:val="20"/>
        </w:rPr>
        <w:t>Scattering-characteristic-based methods exploit the difference in scattering mechanism between ships and sea clutter to build physically interpretable features that highlight the target, and they form the mainstream route today. DeGraaf first enhanced the ship-background power contrast by adaptive polarization synthesis [11]; Wang et al. used the reflection-symmetry difference between man-made targets and natural clutter to separate ships from the sea [12]; Marino designed a polarimetric notch filter that removes sea returns in the polarimetric domain to expose weakly scattering ships [13]; Cloude proposed rank-1 polarimetric processing, which approximates the target by a single scattering mechanism [14]; Li et al. developed roll-invariant features against the instability caused by ship attitude variation [15]; and Quan et al. compressed multidimensional scattering information into a few highly discriminative features [16]. The four-component decomposition of Yamaguchi et al. [17] and its ocean-oriented volume-scattering model [18] remain the most widely used physical models of target representation. These methods are physically meaningful and need no training data, but their feature forms and thresholds depend heavily on expert experience, their cross-band adaptability is limited, and their sensitivity to weakly scattering small ships is low; improvements such as PSO-based fine polarimetric decomposition [19] still remain within the handcrafted framework. Recent surveys and full-polarization detector studies note that the design of polarimetric scattering fingerprints is shifting from handcrafted design to data-driven mining [1], [20], which motivates this work.</w:t>
      </w:r>
    </w:p>
    <w:p w14:paraId="4CB44E55">
      <w:pPr>
        <w:widowControl w:val="0"/>
        <w:spacing w:line="252" w:lineRule="auto"/>
        <w:ind w:firstLine="202"/>
        <w:jc w:val="both"/>
        <w:rPr>
          <w:color w:val="000000"/>
          <w:lang w:eastAsia="zh-CN"/>
        </w:rPr>
      </w:pPr>
      <w:r>
        <w:rPr>
          <w:rFonts w:ascii="Times New Roman" w:hAnsi="Times New Roman" w:eastAsia="Songti SC"/>
          <w:b w:val="0"/>
          <w:i w:val="0"/>
          <w:sz w:val="20"/>
        </w:rPr>
        <w:t>Deep-learning-based methods learn implicit target features end to end and outperform traditional methods in complex scenes. Qin et al. introduced an end-to-end Transformer detector that alleviates missed detections of small targets in dense scenes [21]; Chen et al. designed the LRS2-DM framework on a diffusion model for small targets in low-resolution imagery [22]; Cai et al. coupled physical scattering mechanisms with a CNN detector [23]; Yin et al. enhanced a Transformer detector by scattering-point aggregation and contextual feature refinement [24]; and lightweight distillation-based detectors have been developed for SAR targets [25]. Knowledge distillation offers a compromise: a large network passes its decision knowledge to a small one as soft labels [26], an idea already used to lightweight remote-sensing and SAR detection [27]–[30]. Such methods are powerful, but their decision logic is stored implicitly in the weights and the physical mechanism is hard to trace, so they cannot provide the interpretability and traceability required in maritime surveillance. General model-compression principles are surveyed in [31]; speckle noise and target sparsity make their application to SAR detection non-trivial.</w:t>
      </w:r>
    </w:p>
    <w:p w14:paraId="3622D71E">
      <w:pPr>
        <w:widowControl w:val="0"/>
        <w:spacing w:line="252" w:lineRule="auto"/>
        <w:ind w:firstLine="202"/>
        <w:jc w:val="both"/>
        <w:rPr>
          <w:color w:val="000000"/>
          <w:lang w:eastAsia="zh-CN"/>
        </w:rPr>
      </w:pPr>
      <w:r>
        <w:rPr>
          <w:rFonts w:ascii="Times New Roman" w:hAnsi="Times New Roman" w:eastAsia="Songti SC"/>
          <w:b w:val="0"/>
          <w:i w:val="0"/>
          <w:sz w:val="20"/>
        </w:rPr>
        <w:t>Overall, three problems remain. First, box annotations provide only coarse target extents and are converted into binary masks; the continuous ship-sea transition is therefore lost, and boundary pixels receive unstable supervision. Second, handcrafted polarimetric features are physically meaningful, but their forms and thresholds depend on expert experience, which limits cross-band and cross-sensor transfer. Third, deep detectors perform well in complex scenes, but their decision logic is hidden in network weights, and their box outputs do not provide pixel-level evidence that can be inspected.</w:t>
      </w:r>
    </w:p>
    <w:p w14:paraId="7DF8B359">
      <w:pPr>
        <w:widowControl w:val="0"/>
        <w:spacing w:line="252" w:lineRule="auto"/>
        <w:ind w:firstLine="202"/>
        <w:jc w:val="both"/>
        <w:rPr>
          <w:color w:val="000000"/>
          <w:lang w:eastAsia="zh-CN"/>
        </w:rPr>
      </w:pPr>
      <w:r>
        <w:rPr>
          <w:rFonts w:ascii="Times New Roman" w:hAnsi="Times New Roman" w:eastAsia="Songti SC"/>
          <w:b w:val="0"/>
          <w:i w:val="0"/>
          <w:sz w:val="20"/>
        </w:rPr>
        <w:t>To address these problems, this article presents a knowledge-distillation-guided symbolic-regression method for learning an explicit polarimetric descriptor. A teacher-student formulation connects physical polarimetric features, soft pixel labels, and a closed-form descriptor; the descriptor serves as both a detector input and a pixel-level decision rule. The main contributions are as follows.</w:t>
      </w:r>
    </w:p>
    <w:p w14:paraId="32786298">
      <w:pPr>
        <w:widowControl w:val="0"/>
        <w:spacing w:line="252" w:lineRule="auto"/>
        <w:ind w:firstLine="202"/>
        <w:jc w:val="both"/>
        <w:rPr>
          <w:color w:val="000000"/>
          <w:lang w:eastAsia="zh-CN"/>
        </w:rPr>
      </w:pPr>
      <w:r>
        <w:rPr>
          <w:rFonts w:ascii="Times New Roman" w:hAnsi="Times New Roman" w:eastAsia="Songti SC"/>
          <w:b w:val="0"/>
          <w:i w:val="0"/>
          <w:sz w:val="20"/>
        </w:rPr>
        <w:t>1) A soft-label generation mechanism based on knowledge distillation is developed. A lightweight MLP teacher maps three polarimetric components to a continuous ship-membership score, replacing threshold labels with a smooth regression target. At the low complexity used by the final descriptor, hard- and soft-label searches recover the same exponential form; soft labels become useful at higher complexity, where they keep the Pareto front smooth and avoid oscillatory expressions.</w:t>
      </w:r>
    </w:p>
    <w:p w14:paraId="1EE1B31B">
      <w:pPr>
        <w:widowControl w:val="0"/>
        <w:spacing w:line="252" w:lineRule="auto"/>
        <w:ind w:firstLine="202"/>
        <w:jc w:val="both"/>
        <w:rPr>
          <w:color w:val="000000"/>
          <w:lang w:eastAsia="zh-CN"/>
        </w:rPr>
      </w:pPr>
      <w:r>
        <w:rPr>
          <w:rFonts w:ascii="Times New Roman" w:hAnsi="Times New Roman" w:eastAsia="Songti SC"/>
          <w:b w:val="0"/>
          <w:i w:val="0"/>
          <w:sz w:val="20"/>
        </w:rPr>
        <w:t xml:space="preserve">2) A symbolic-regression procedure is developed to obtain an explicit scattering descriptor. A bi-objective search over accuracy and complexity returns the six-node expression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 exp(-c/(</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Analysis and experiments show that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is a monotone, bounded rescaling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it has the same AUC as the raw sum (0.9772) but provides a closed-form, unit-interval output that is easier to calibrate and embed. As a single-channel input, it improves YOLOv8n mAP@0.5 from 73.7% (raw sum) to 76.5%, so the gain comes from input calibration rather than extra ranking information.</w:t>
      </w:r>
    </w:p>
    <w:p w14:paraId="02F3B7EE">
      <w:pPr>
        <w:widowControl w:val="0"/>
        <w:spacing w:line="252" w:lineRule="auto"/>
        <w:ind w:firstLine="202"/>
        <w:jc w:val="both"/>
        <w:rPr>
          <w:color w:val="000000"/>
          <w:lang w:eastAsia="zh-CN"/>
        </w:rPr>
      </w:pPr>
      <w:r>
        <w:rPr>
          <w:rFonts w:ascii="Times New Roman" w:hAnsi="Times New Roman" w:eastAsia="Songti SC"/>
          <w:b w:val="0"/>
          <w:i w:val="0"/>
          <w:sz w:val="20"/>
        </w:rPr>
        <w:t>3) A dual-layer detection scheme is constructed. The descriptor is used as an input channel in YOLO detectors, and a box-gated rule converts its thresholded response into pixel-level masks. With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w:t>
      </w:r>
      <w:r>
        <w:rPr>
          <w:rFonts w:ascii="Times New Roman" w:hAnsi="Times New Roman" w:eastAsia="Songti SC"/>
          <w:b w:val="0"/>
          <w:i/>
          <w:sz w:val="20"/>
        </w:rPr>
        <w:t>P</w:t>
      </w:r>
      <w:r>
        <w:rPr>
          <w:rFonts w:ascii="Times New Roman" w:hAnsi="Times New Roman" w:eastAsia="Songti SC"/>
          <w:b w:val="0"/>
          <w:i/>
          <w:sz w:val="20"/>
          <w:vertAlign w:val="subscript"/>
        </w:rPr>
        <w:t>s</w:t>
      </w:r>
      <w:r>
        <w:rPr>
          <w:rFonts w:ascii="Times New Roman" w:hAnsi="Times New Roman" w:eastAsia="Songti SC"/>
          <w:b w:val="0"/>
          <w:i w:val="0"/>
          <w:sz w:val="20"/>
        </w:rPr>
        <w:t xml:space="preserve">], YOLOv8n improves mAP@0.5 from 80.0% to 82.5%, and all four YOLO variants improve in mAP@0.5. The controlled comparison is the within-architecture replacement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 xml:space="preserve"> by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w:t>
      </w:r>
    </w:p>
    <w:p w14:paraId="18749A58">
      <w:pPr>
        <w:pStyle w:val="2"/>
        <w:spacing w:before="250"/>
        <w:rPr>
          <w:rFonts w:eastAsia="宋体"/>
          <w:lang w:eastAsia="zh-CN"/>
        </w:rPr>
      </w:pPr>
      <w:r>
        <w:rPr>
          <w:rFonts w:ascii="Times New Roman" w:hAnsi="Times New Roman" w:eastAsia="Songti SC"/>
          <w:sz w:val="20"/>
        </w:rPr>
        <w:t>II. METHODOLOGY</w:t>
      </w:r>
    </w:p>
    <w:p w14:paraId="1E885BC1">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proposed method has three stages, shown in Fig. 1. Stage I decomposes multi-source PolSAR imagery by the Yamaguchi four-component model, thresholds the result into pixel-level hard labels, and has an MLP teacher turn them into continuous soft labels. Stage II fits the soft labels by symbolic regression under a Pareto trade-off between accuracy and complexity and outputs an explicit descriptor. Stage III decides every pixel with the general layer and feeds the descriptor into a deep detector as one input channel.</w:t>
      </w:r>
    </w:p>
    <w:p w14:paraId="5B8ADB44">
      <w:p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26080" cy="1364232"/>
                  <wp:docPr id="15" name="Picture 15"/>
                  <wp:cNvGraphicFramePr>
                    <a:graphicFrameLocks noChangeAspect="1"/>
                  </wp:cNvGraphicFramePr>
                  <a:graphic>
                    <a:graphicData uri="http://schemas.openxmlformats.org/drawingml/2006/picture">
                      <pic:pic>
                        <pic:nvPicPr>
                          <pic:cNvPr id="0" name="fig01.png"/>
                          <pic:cNvPicPr/>
                        </pic:nvPicPr>
                        <pic:blipFill>
                          <a:blip r:embed="rId150"/>
                          <a:stretch>
                            <a:fillRect/>
                          </a:stretch>
                        </pic:blipFill>
                        <pic:spPr>
                          <a:xfrm>
                            <a:off x="0" y="0"/>
                            <a:ext cx="2926080" cy="1364232"/>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 Overall pipeline of the proposed method.</w:t>
            </w:r>
          </w:p>
        </w:tc>
      </w:tr>
    </w:tbl>
    <w:p w14:paraId="7BE4D417">
      <w:pPr>
        <w:pStyle w:val="3"/>
        <w:numPr>
          <w:ilvl w:val="0"/>
          <w:numId w:val="0"/>
        </w:numPr>
      </w:pPr>
      <w:r>
        <w:rPr>
          <w:rFonts w:ascii="Times New Roman" w:hAnsi="Times New Roman" w:eastAsia="Songti SC"/>
          <w:sz w:val="20"/>
        </w:rPr>
        <w:t>A. Polarimetric Soft-Label Generation via Knowledge Distillation</w:t>
      </w:r>
    </w:p>
    <w:p w14:paraId="0BAB17B8">
      <w:pPr>
        <w:widowControl w:val="0"/>
        <w:spacing w:line="252" w:lineRule="auto"/>
        <w:ind w:firstLine="202"/>
        <w:jc w:val="both"/>
        <w:rPr>
          <w:color w:val="000000"/>
          <w:lang w:eastAsia="zh-CN"/>
        </w:rPr>
      </w:pPr>
      <w:r>
        <w:rPr>
          <w:rFonts w:ascii="Times New Roman" w:hAnsi="Times New Roman" w:eastAsia="Songti SC"/>
          <w:color w:val="000000"/>
          <w:sz w:val="20"/>
          <w:lang w:eastAsia="zh-CN"/>
        </w:rPr>
        <w:t>Fully polarimetric SAR acquires the complete backscattering response of each resolution cell, written as a 2 × 2 complex scattering matrix in the horizontal-vertical basis. Vectorizing it on the Pauli basis gives the scattering vector k, and a sliding-window multilook ensemble average of k suppresses speckle and yields a statistically stable 3 × 3 polarimetric coherency matrix:</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76B3A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0" w:after="0" w:line="200" w:lineRule="exact"/>
              <w:jc w:val="center"/>
            </w:pPr>
            <w:r>
              <w:rPr>
                <w:rFonts w:ascii="Times New Roman" w:hAnsi="Times New Roman" w:eastAsia="Times New Roman"/>
                <w:i w:val="0"/>
                <w:sz w:val="15"/>
              </w:rPr>
              <w:t>k = 1/√2 [</w:t>
            </w:r>
            <w:r>
              <w:rPr>
                <w:rFonts w:ascii="Times New Roman" w:hAnsi="Times New Roman" w:eastAsia="Times New Roman"/>
                <w:i/>
                <w:sz w:val="15"/>
              </w:rPr>
              <w:t>S</w:t>
            </w:r>
            <w:r>
              <w:rPr>
                <w:rFonts w:ascii="Times New Roman" w:hAnsi="Times New Roman" w:eastAsia="Times New Roman"/>
                <w:i w:val="0"/>
                <w:sz w:val="15"/>
                <w:vertAlign w:val="subscript"/>
              </w:rPr>
              <w:t>HH</w:t>
            </w:r>
            <w:r>
              <w:rPr>
                <w:rFonts w:ascii="Times New Roman" w:hAnsi="Times New Roman" w:eastAsia="Times New Roman"/>
                <w:i w:val="0"/>
                <w:sz w:val="15"/>
              </w:rPr>
              <w:t xml:space="preserve"> + </w:t>
            </w:r>
            <w:r>
              <w:rPr>
                <w:rFonts w:ascii="Times New Roman" w:hAnsi="Times New Roman" w:eastAsia="Times New Roman"/>
                <w:i/>
                <w:sz w:val="15"/>
              </w:rPr>
              <w:t>S</w:t>
            </w:r>
            <w:r>
              <w:rPr>
                <w:rFonts w:ascii="Times New Roman" w:hAnsi="Times New Roman" w:eastAsia="Times New Roman"/>
                <w:i w:val="0"/>
                <w:sz w:val="15"/>
                <w:vertAlign w:val="subscript"/>
              </w:rPr>
              <w:t>VV</w:t>
            </w:r>
            <w:r>
              <w:rPr>
                <w:rFonts w:ascii="Times New Roman" w:hAnsi="Times New Roman" w:eastAsia="Times New Roman"/>
                <w:i w:val="0"/>
                <w:sz w:val="15"/>
              </w:rPr>
              <w:t xml:space="preserve">, </w:t>
            </w:r>
            <w:r>
              <w:rPr>
                <w:rFonts w:ascii="Times New Roman" w:hAnsi="Times New Roman" w:eastAsia="Times New Roman"/>
                <w:i/>
                <w:sz w:val="15"/>
              </w:rPr>
              <w:t>S</w:t>
            </w:r>
            <w:r>
              <w:rPr>
                <w:rFonts w:ascii="Times New Roman" w:hAnsi="Times New Roman" w:eastAsia="Times New Roman"/>
                <w:i w:val="0"/>
                <w:sz w:val="15"/>
                <w:vertAlign w:val="subscript"/>
              </w:rPr>
              <w:t>HH</w:t>
            </w:r>
            <w:r>
              <w:rPr>
                <w:rFonts w:ascii="Times New Roman" w:hAnsi="Times New Roman" w:eastAsia="Times New Roman"/>
                <w:i w:val="0"/>
                <w:sz w:val="15"/>
              </w:rPr>
              <w:t xml:space="preserve"> − </w:t>
            </w:r>
            <w:r>
              <w:rPr>
                <w:rFonts w:ascii="Times New Roman" w:hAnsi="Times New Roman" w:eastAsia="Times New Roman"/>
                <w:i/>
                <w:sz w:val="15"/>
              </w:rPr>
              <w:t>S</w:t>
            </w:r>
            <w:r>
              <w:rPr>
                <w:rFonts w:ascii="Times New Roman" w:hAnsi="Times New Roman" w:eastAsia="Times New Roman"/>
                <w:i w:val="0"/>
                <w:sz w:val="15"/>
                <w:vertAlign w:val="subscript"/>
              </w:rPr>
              <w:t>VV</w:t>
            </w:r>
            <w:r>
              <w:rPr>
                <w:rFonts w:ascii="Times New Roman" w:hAnsi="Times New Roman" w:eastAsia="Times New Roman"/>
                <w:i w:val="0"/>
                <w:sz w:val="15"/>
              </w:rPr>
              <w:t>, 2</w:t>
            </w:r>
            <w:r>
              <w:rPr>
                <w:rFonts w:ascii="Times New Roman" w:hAnsi="Times New Roman" w:eastAsia="Times New Roman"/>
                <w:i/>
                <w:sz w:val="15"/>
              </w:rPr>
              <w:t>S</w:t>
            </w:r>
            <w:r>
              <w:rPr>
                <w:rFonts w:ascii="Times New Roman" w:hAnsi="Times New Roman" w:eastAsia="Times New Roman"/>
                <w:i w:val="0"/>
                <w:sz w:val="15"/>
                <w:vertAlign w:val="subscript"/>
              </w:rPr>
              <w:t>HV</w:t>
            </w:r>
            <w:r>
              <w:rPr>
                <w:rFonts w:ascii="Times New Roman" w:hAnsi="Times New Roman" w:eastAsia="Times New Roman"/>
                <w:i w:val="0"/>
                <w:sz w:val="15"/>
              </w:rPr>
              <w:t>]</w:t>
            </w:r>
            <w:r>
              <w:rPr>
                <w:rFonts w:ascii="Times New Roman" w:hAnsi="Times New Roman" w:eastAsia="Times New Roman"/>
                <w:i w:val="0"/>
                <w:sz w:val="15"/>
                <w:vertAlign w:val="superscript"/>
              </w:rPr>
              <w:t>T</w:t>
            </w:r>
          </w:p>
          <w:p>
            <w:pPr>
              <w:spacing w:line="200" w:lineRule="exact" w:before="0" w:after="0"/>
              <w:jc w:val="center"/>
            </w:pPr>
            <w:r>
              <w:rPr>
                <w:rFonts w:ascii="Times New Roman" w:hAnsi="Times New Roman" w:eastAsia="Times New Roman"/>
                <w:i w:val="0"/>
                <w:sz w:val="15"/>
              </w:rPr>
              <w:t>T = ⟨kk</w:t>
            </w:r>
            <w:r>
              <w:rPr>
                <w:rFonts w:ascii="Times New Roman" w:hAnsi="Times New Roman" w:eastAsia="Times New Roman"/>
                <w:i w:val="0"/>
                <w:sz w:val="15"/>
                <w:vertAlign w:val="superscript"/>
              </w:rPr>
              <w:t>H</w:t>
            </w:r>
            <w:r>
              <w:rPr>
                <w:rFonts w:ascii="Times New Roman" w:hAnsi="Times New Roman" w:eastAsia="Times New Roman"/>
                <w:i w:val="0"/>
                <w:sz w:val="15"/>
              </w:rPr>
              <w:t>⟩ = [T</w:t>
            </w:r>
            <w:r>
              <w:rPr>
                <w:rFonts w:ascii="Times New Roman" w:hAnsi="Times New Roman" w:eastAsia="Times New Roman"/>
                <w:i w:val="0"/>
                <w:sz w:val="15"/>
                <w:vertAlign w:val="subscript"/>
              </w:rPr>
              <w:t>11</w:t>
            </w:r>
            <w:r>
              <w:rPr>
                <w:rFonts w:ascii="Times New Roman" w:hAnsi="Times New Roman" w:eastAsia="Times New Roman"/>
                <w:i w:val="0"/>
                <w:sz w:val="15"/>
              </w:rPr>
              <w:t xml:space="preserve">  T</w:t>
            </w:r>
            <w:r>
              <w:rPr>
                <w:rFonts w:ascii="Times New Roman" w:hAnsi="Times New Roman" w:eastAsia="Times New Roman"/>
                <w:i w:val="0"/>
                <w:sz w:val="15"/>
                <w:vertAlign w:val="subscript"/>
              </w:rPr>
              <w:t>12</w:t>
            </w:r>
            <w:r>
              <w:rPr>
                <w:rFonts w:ascii="Times New Roman" w:hAnsi="Times New Roman" w:eastAsia="Times New Roman"/>
                <w:i w:val="0"/>
                <w:sz w:val="15"/>
              </w:rPr>
              <w:t xml:space="preserve">  T</w:t>
            </w:r>
            <w:r>
              <w:rPr>
                <w:rFonts w:ascii="Times New Roman" w:hAnsi="Times New Roman" w:eastAsia="Times New Roman"/>
                <w:i w:val="0"/>
                <w:sz w:val="15"/>
                <w:vertAlign w:val="subscript"/>
              </w:rPr>
              <w:t>13</w:t>
            </w:r>
            <w:r>
              <w:rPr>
                <w:rFonts w:ascii="Times New Roman" w:hAnsi="Times New Roman" w:eastAsia="Times New Roman"/>
                <w:i w:val="0"/>
                <w:sz w:val="15"/>
              </w:rPr>
              <w:t>; T</w:t>
            </w:r>
            <w:r>
              <w:rPr>
                <w:rFonts w:ascii="Times New Roman" w:hAnsi="Times New Roman" w:eastAsia="Times New Roman"/>
                <w:i w:val="0"/>
                <w:sz w:val="15"/>
                <w:vertAlign w:val="subscript"/>
              </w:rPr>
              <w:t>12</w:t>
            </w:r>
            <w:r>
              <w:rPr>
                <w:rFonts w:ascii="Times New Roman" w:hAnsi="Times New Roman" w:eastAsia="Times New Roman"/>
                <w:i w:val="0"/>
                <w:sz w:val="15"/>
              </w:rPr>
              <w:t>* T</w:t>
            </w:r>
            <w:r>
              <w:rPr>
                <w:rFonts w:ascii="Times New Roman" w:hAnsi="Times New Roman" w:eastAsia="Times New Roman"/>
                <w:i w:val="0"/>
                <w:sz w:val="15"/>
                <w:vertAlign w:val="subscript"/>
              </w:rPr>
              <w:t>22</w:t>
            </w:r>
            <w:r>
              <w:rPr>
                <w:rFonts w:ascii="Times New Roman" w:hAnsi="Times New Roman" w:eastAsia="Times New Roman"/>
                <w:i w:val="0"/>
                <w:sz w:val="15"/>
              </w:rPr>
              <w:t xml:space="preserve">  T</w:t>
            </w:r>
            <w:r>
              <w:rPr>
                <w:rFonts w:ascii="Times New Roman" w:hAnsi="Times New Roman" w:eastAsia="Times New Roman"/>
                <w:i w:val="0"/>
                <w:sz w:val="15"/>
                <w:vertAlign w:val="subscript"/>
              </w:rPr>
              <w:t>23</w:t>
            </w:r>
            <w:r>
              <w:rPr>
                <w:rFonts w:ascii="Times New Roman" w:hAnsi="Times New Roman" w:eastAsia="Times New Roman"/>
                <w:i w:val="0"/>
                <w:sz w:val="15"/>
              </w:rPr>
              <w:t>; T</w:t>
            </w:r>
            <w:r>
              <w:rPr>
                <w:rFonts w:ascii="Times New Roman" w:hAnsi="Times New Roman" w:eastAsia="Times New Roman"/>
                <w:i w:val="0"/>
                <w:sz w:val="15"/>
                <w:vertAlign w:val="subscript"/>
              </w:rPr>
              <w:t>13</w:t>
            </w:r>
            <w:r>
              <w:rPr>
                <w:rFonts w:ascii="Times New Roman" w:hAnsi="Times New Roman" w:eastAsia="Times New Roman"/>
                <w:i w:val="0"/>
                <w:sz w:val="15"/>
              </w:rPr>
              <w:t>* T</w:t>
            </w:r>
            <w:r>
              <w:rPr>
                <w:rFonts w:ascii="Times New Roman" w:hAnsi="Times New Roman" w:eastAsia="Times New Roman"/>
                <w:i w:val="0"/>
                <w:sz w:val="15"/>
                <w:vertAlign w:val="subscript"/>
              </w:rPr>
              <w:t>23</w:t>
            </w:r>
            <w:r>
              <w:rPr>
                <w:rFonts w:ascii="Times New Roman" w:hAnsi="Times New Roman" w:eastAsia="Times New Roman"/>
                <w:i w:val="0"/>
                <w:sz w:val="15"/>
              </w:rPr>
              <w:t>* T</w:t>
            </w:r>
            <w:r>
              <w:rPr>
                <w:rFonts w:ascii="Times New Roman" w:hAnsi="Times New Roman" w:eastAsia="Times New Roman"/>
                <w:i w:val="0"/>
                <w:sz w:val="15"/>
                <w:vertAlign w:val="subscript"/>
              </w:rPr>
              <w:t>33</w:t>
            </w:r>
            <w:r>
              <w:rPr>
                <w:rFonts w:ascii="Times New Roman" w:hAnsi="Times New Roman" w:eastAsia="Times New Roman"/>
                <w:i w:val="0"/>
                <w:sz w:val="15"/>
              </w:rPr>
              <w:t>]</w:t>
            </w:r>
          </w:p>
        </w:tc>
        <w:tc>
          <w:tcPr>
            <w:tcW w:w="400" w:type="dxa"/>
            <w:tcMar>
              <w:top w:w="0" w:type="dxa"/>
              <w:left w:w="0" w:type="dxa"/>
              <w:bottom w:w="0" w:type="dxa"/>
              <w:right w:w="0" w:type="dxa"/>
            </w:tcMar>
          </w:tcPr>
          <w:p w14:paraId="3D94A248">
            <w:pPr>
              <w:keepLines/>
              <w:tabs>
                <w:tab w:val="center" w:pos="4535"/>
                <w:tab w:val="right" w:pos="9070"/>
              </w:tabs>
              <w:jc w:val="right"/>
            </w:pPr>
            <w:r>
              <w:t>(1)</w:t>
            </w:r>
          </w:p>
        </w:tc>
      </w:tr>
    </w:tbl>
    <w:p w14:paraId="0C8292AA">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p>
          <m:sSupPr>
            <m:ctrlPr>
              <w:rPr>
                <w:rFonts w:ascii="Cambria Math" w:hAnsi="Cambria Math"/>
              </w:rPr>
            </m:ctrlPr>
          </m:sSupPr>
          <m:e>
            <m:d>
              <m:dPr>
                <m:ctrlPr>
                  <w:rPr>
                    <w:rFonts w:ascii="Cambria Math" w:hAnsi="Cambria Math"/>
                  </w:rPr>
                </m:ctrlPr>
              </m:dPr>
              <m:e>
                <m:r>
                  <m:rPr>
                    <m:nor/>
                    <m:sty m:val="p"/>
                  </m:rPr>
                  <w:rPr>
                    <w:rFonts w:ascii="Cambria Math" w:hAnsi="Cambria Math"/>
                    <w:b w:val="0"/>
                    <w:i w:val="0"/>
                  </w:rPr>
                  <m:t>·</m:t>
                </m:r>
                <m:ctrlPr>
                  <w:rPr>
                    <w:rFonts w:ascii="Cambria Math" w:hAnsi="Cambria Math"/>
                  </w:rPr>
                </m:ctrlPr>
              </m:e>
            </m:d>
            <m:ctrlPr>
              <w:rPr>
                <w:rFonts w:ascii="Cambria Math" w:hAnsi="Cambria Math"/>
              </w:rPr>
            </m:ctrlPr>
          </m:e>
          <m:sup>
            <m:r>
              <m:rPr>
                <m:nor/>
                <m:sty m:val="p"/>
              </m:rPr>
              <w:rPr>
                <w:rFonts w:ascii="Cambria Math" w:hAnsi="Cambria Math"/>
                <w:b w:val="0"/>
                <w:i w:val="0"/>
              </w:rPr>
              <m:t>H</m:t>
            </m:r>
            <m:ctrlPr>
              <w:rPr>
                <w:rFonts w:ascii="Cambria Math" w:hAnsi="Cambria Math"/>
              </w:rPr>
            </m:ctrlPr>
          </m:sup>
        </m:sSup>
      </m:oMath>
      <w:r>
        <w:rPr>
          <w:rFonts w:ascii="Times New Roman" w:hAnsi="Times New Roman" w:eastAsia="Songti SC"/>
          <w:color w:val="000000"/>
          <w:sz w:val="20"/>
          <w:lang w:eastAsia="zh-CN"/>
        </w:rPr>
        <w:t xml:space="preserve"> denotes the conjugate transpose and </w:t>
      </w:r>
      <m:oMath>
        <m:d>
          <m:dPr>
            <m:begChr m:val="⟨"/>
            <m:endChr m:val="⟩"/>
            <m:ctrlPr>
              <w:rPr>
                <w:rFonts w:ascii="Cambria Math" w:hAnsi="Cambria Math"/>
              </w:rPr>
            </m:ctrlPr>
          </m:dPr>
          <m:e>
            <m:r>
              <m:rPr>
                <m:nor/>
                <m:sty m:val="p"/>
              </m:rPr>
              <w:rPr>
                <w:rFonts w:ascii="Cambria Math" w:hAnsi="Cambria Math"/>
                <w:b w:val="0"/>
                <w:i w:val="0"/>
              </w:rPr>
              <m:t>·</m:t>
            </m:r>
            <m:ctrlPr>
              <w:rPr>
                <w:rFonts w:ascii="Cambria Math" w:hAnsi="Cambria Math"/>
              </w:rPr>
            </m:ctrlPr>
          </m:e>
        </m:d>
      </m:oMath>
      <w:r>
        <w:rPr>
          <w:rFonts w:ascii="Times New Roman" w:hAnsi="Times New Roman" w:eastAsia="Songti SC"/>
          <w:color w:val="000000"/>
          <w:sz w:val="20"/>
          <w:lang w:eastAsia="zh-CN"/>
        </w:rPr>
        <w:t xml:space="preserve"> the spatial sliding-window multilook ensemble average; the coherency matrix is the basis of the subsequent scattering decomposition.</w:t>
      </w:r>
    </w:p>
    <w:p w14:paraId="4E7088BF">
      <w:pPr>
        <w:widowControl w:val="0"/>
        <w:spacing w:line="252" w:lineRule="auto"/>
        <w:ind w:firstLine="202"/>
        <w:jc w:val="both"/>
        <w:rPr>
          <w:color w:val="000000"/>
          <w:lang w:eastAsia="zh-CN"/>
        </w:rPr>
      </w:pPr>
      <w:r>
        <w:rPr>
          <w:rFonts w:ascii="Times New Roman" w:hAnsi="Times New Roman" w:eastAsia="Songti SC"/>
          <w:color w:val="000000"/>
          <w:sz w:val="20"/>
          <w:lang w:eastAsia="zh-CN"/>
        </w:rPr>
        <w:t>Among the many decomposition methods, this paper adopts the Yamaguchi four-component decomposition [17], [18]: compared with the coherency-matrix elements its output is physically explicit and orientation-stable, and compared with features such as H/A/</w:t>
      </w:r>
      <m:oMath>
        <m:r>
          <m:rPr/>
          <w:rPr>
            <w:rFonts w:ascii="Cambria Math" w:hAnsi="Cambria Math"/>
          </w:rPr>
          <m:t>α</m:t>
        </m:r>
      </m:oMath>
      <w:r>
        <w:rPr>
          <w:rFonts w:ascii="Times New Roman" w:hAnsi="Times New Roman" w:eastAsia="Songti SC"/>
          <w:color w:val="000000"/>
          <w:sz w:val="20"/>
          <w:lang w:eastAsia="zh-CN"/>
        </w:rPr>
        <w:t xml:space="preserve"> its components can be written directly as linear combinations of the detection features, which facilitates the mechanistic interpretation of the descriptor. Under a non-negative power constraint the coherency matrix is decomposed into surface, double-bounce, volume and helix scattering, the volume term using an adaptive model tailored to ocean scenes: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0D92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DA9F4E8">
            <w:pPr>
              <w:keepLines/>
              <w:tabs>
                <w:tab w:val="center" w:pos="4535"/>
                <w:tab w:val="right" w:pos="9070"/>
              </w:tabs>
              <w:jc w:val="center"/>
            </w:pPr>
            <m:oMathPara>
              <m:oMath>
                <m:r>
                  <m:rPr/>
                  <w:rPr>
                    <w:rFonts w:ascii="Cambria Math" w:hAnsi="Cambria Math"/>
                    <w:sz w:val="17"/>
                    <w:szCs w:val="17"/>
                  </w:rPr>
                  <m:t>T</m:t>
                </m:r>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surface</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double</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volume</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h</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helix</m:t>
                    </m:r>
                    <m:ctrlPr>
                      <w:rPr>
                        <w:rFonts w:ascii="Cambria Math" w:hAnsi="Cambria Math"/>
                        <w:sz w:val="17"/>
                        <w:szCs w:val="17"/>
                      </w:rPr>
                    </m:ctrlPr>
                  </m:sub>
                </m:sSub>
              </m:oMath>
            </m:oMathPara>
          </w:p>
        </w:tc>
        <w:tc>
          <w:tcPr>
            <w:tcW w:w="400" w:type="dxa"/>
            <w:tcMar>
              <w:top w:w="0" w:type="dxa"/>
              <w:left w:w="0" w:type="dxa"/>
              <w:bottom w:w="0" w:type="dxa"/>
              <w:right w:w="0" w:type="dxa"/>
            </w:tcMar>
          </w:tcPr>
          <w:p w14:paraId="54E0DAD0">
            <w:pPr>
              <w:keepLines/>
              <w:tabs>
                <w:tab w:val="center" w:pos="4535"/>
                <w:tab w:val="right" w:pos="9070"/>
              </w:tabs>
              <w:jc w:val="right"/>
            </w:pPr>
            <w:r>
              <w:t>(2)</w:t>
            </w:r>
          </w:p>
        </w:tc>
      </w:tr>
    </w:tbl>
    <w:p w14:paraId="535A97B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surface</m:t>
            </m:r>
            <m:ctrlPr>
              <w:rPr>
                <w:rFonts w:ascii="Cambria Math" w:hAnsi="Cambria Math"/>
              </w:rPr>
            </m:ctrlPr>
          </m:sub>
        </m:sSub>
        <m:r>
          <m:rPr>
            <m:nor/>
            <m:sty m:val="p"/>
          </m:rPr>
          <w:rPr>
            <w:rFonts w:ascii="Cambria Math" w:hAnsi="Cambria Math"/>
            <w:b w:val="0"/>
            <w:i w:val="0"/>
          </w:rPr>
          <m:t xml:space="preserve">, </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double</m:t>
            </m:r>
            <m:ctrlPr>
              <w:rPr>
                <w:rFonts w:ascii="Cambria Math" w:hAnsi="Cambria Math"/>
              </w:rPr>
            </m:ctrlPr>
          </m:sub>
        </m:sSub>
        <m:r>
          <m:rPr>
            <m:nor/>
            <m:sty m:val="p"/>
          </m:rPr>
          <w:rPr>
            <w:rFonts w:ascii="Cambria Math" w:hAnsi="Cambria Math"/>
            <w:b w:val="0"/>
            <w:i w:val="0"/>
          </w:rPr>
          <m:t xml:space="preserve">, </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volume</m:t>
            </m:r>
            <m:ctrlPr>
              <w:rPr>
                <w:rFonts w:ascii="Cambria Math" w:hAnsi="Cambria Math"/>
              </w:rPr>
            </m:ctrlPr>
          </m:sub>
        </m:sSub>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helix</m:t>
            </m:r>
            <m:ctrlPr>
              <w:rPr>
                <w:rFonts w:ascii="Cambria Math" w:hAnsi="Cambria Math"/>
              </w:rPr>
            </m:ctrlPr>
          </m:sub>
        </m:sSub>
      </m:oMath>
      <w:r>
        <w:rPr>
          <w:rFonts w:ascii="Times New Roman" w:hAnsi="Times New Roman" w:eastAsia="Songti SC"/>
          <w:color w:val="000000"/>
          <w:sz w:val="20"/>
          <w:lang w:eastAsia="zh-CN"/>
        </w:rPr>
        <w:t xml:space="preserve"> are the basis coherency matrices of the four mechanisms. The physical meaning of each component is as follows: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s</m:t>
            </m:r>
            <m:ctrlPr>
              <w:rPr>
                <w:rFonts w:ascii="Cambria Math" w:hAnsi="Cambria Math"/>
              </w:rPr>
            </m:ctrlPr>
          </m:sub>
        </m:sSub>
      </m:oMath>
      <w:r>
        <w:rPr>
          <w:rFonts w:ascii="Times New Roman" w:hAnsi="Times New Roman" w:eastAsia="Songti SC"/>
          <w:color w:val="000000"/>
          <w:sz w:val="20"/>
          <w:lang w:eastAsia="zh-CN"/>
        </w:rPr>
        <w:t xml:space="preserve"> dominates the sea background return;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oMath>
      <w:r>
        <w:rPr>
          <w:rFonts w:ascii="Times New Roman" w:hAnsi="Times New Roman" w:eastAsia="Songti SC"/>
          <w:color w:val="000000"/>
          <w:sz w:val="20"/>
          <w:lang w:eastAsia="zh-CN"/>
        </w:rPr>
        <w:t xml:space="preserve"> is the main source of the strong backscattering from ship structures;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oMath>
      <w:r>
        <w:rPr>
          <w:rFonts w:ascii="Times New Roman" w:hAnsi="Times New Roman" w:eastAsia="Songti SC"/>
          <w:color w:val="000000"/>
          <w:sz w:val="20"/>
          <w:lang w:eastAsia="zh-CN"/>
        </w:rPr>
        <w:t xml:space="preserve"> characterizes the structural complexity of the target and its degree of depolarization; and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h</m:t>
            </m:r>
            <m:ctrlPr>
              <w:rPr>
                <w:rFonts w:ascii="Cambria Math" w:hAnsi="Cambria Math"/>
              </w:rPr>
            </m:ctrlPr>
          </m:sub>
        </m:sSub>
      </m:oMath>
      <w:r>
        <w:rPr>
          <w:rFonts w:ascii="Times New Roman" w:hAnsi="Times New Roman" w:eastAsia="Songti SC"/>
          <w:color w:val="000000"/>
          <w:sz w:val="20"/>
          <w:lang w:eastAsia="zh-CN"/>
        </w:rPr>
        <w:t xml:space="preserve"> is a direct indicator of reflection-symmetry breaking.</w:t>
      </w:r>
    </w:p>
    <w:p w14:paraId="44B083F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In ship pixels both double-bounce and helix scattering are far stronger than over the sea, corresponding to the main hull structure and the fine twisted structure, and the two fluctuate synchronously over ship and sea (Fig. 2). They are merged into the ship characteristic scattering component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h</m:t>
            </m:r>
            <m:ctrlPr>
              <w:rPr>
                <w:rFonts w:ascii="Cambria Math" w:hAnsi="Cambria Math"/>
              </w:rPr>
            </m:ctrlPr>
          </m:sub>
        </m:sSub>
      </m:oMath>
      <w:r>
        <w:rPr>
          <w:rFonts w:ascii="Times New Roman" w:hAnsi="Times New Roman" w:eastAsia="Songti SC"/>
          <w:color w:val="000000"/>
          <w:sz w:val="20"/>
          <w:lang w:eastAsia="zh-CN"/>
        </w:rPr>
        <w:t xml:space="preserve"> (which removes the redundancy between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h</m:t>
            </m:r>
            <m:ctrlPr>
              <w:rPr>
                <w:rFonts w:ascii="Cambria Math" w:hAnsi="Cambria Math"/>
              </w:rPr>
            </m:ctrlPr>
          </m:sub>
        </m:sSub>
      </m:oMath>
      <w:r>
        <w:rPr>
          <w:rFonts w:ascii="Times New Roman" w:hAnsi="Times New Roman" w:eastAsia="Songti SC"/>
          <w:color w:val="000000"/>
          <w:sz w:val="20"/>
          <w:lang w:eastAsia="zh-CN"/>
        </w:rPr>
        <w:t xml:space="preserve"> and compresses the search space), reducing the features from four to three; the resulting polarimetric feature vector serves as the input of the symbolic regression:</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744F6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0" w:after="0"/>
              <w:jc w:val="center"/>
            </w:pPr>
            <w:r>
              <w:rPr>
                <w:rFonts w:ascii="Times New Roman" w:hAnsi="Times New Roman" w:eastAsia="Times New Roman"/>
                <w:i w:val="0"/>
                <w:sz w:val="17"/>
              </w:rPr>
              <w:t>x = 1/√2 [</w:t>
            </w:r>
            <w:r>
              <w:rPr>
                <w:rFonts w:ascii="Times New Roman" w:hAnsi="Times New Roman" w:eastAsia="Times New Roman"/>
                <w:i/>
                <w:sz w:val="17"/>
              </w:rPr>
              <w:t>P</w:t>
            </w:r>
            <w:r>
              <w:rPr>
                <w:rFonts w:ascii="Times New Roman" w:hAnsi="Times New Roman" w:eastAsia="Times New Roman"/>
                <w:i w:val="0"/>
                <w:sz w:val="17"/>
                <w:vertAlign w:val="subscript"/>
              </w:rPr>
              <w:t>m</w:t>
            </w:r>
            <w:r>
              <w:rPr>
                <w:rFonts w:ascii="Times New Roman" w:hAnsi="Times New Roman" w:eastAsia="Times New Roman"/>
                <w:i w:val="0"/>
                <w:sz w:val="17"/>
              </w:rPr>
              <w:t xml:space="preserve">, </w:t>
            </w:r>
            <w:r>
              <w:rPr>
                <w:rFonts w:ascii="Times New Roman" w:hAnsi="Times New Roman" w:eastAsia="Times New Roman"/>
                <w:i/>
                <w:sz w:val="17"/>
              </w:rPr>
              <w:t>P</w:t>
            </w:r>
            <w:r>
              <w:rPr>
                <w:rFonts w:ascii="Times New Roman" w:hAnsi="Times New Roman" w:eastAsia="Times New Roman"/>
                <w:i w:val="0"/>
                <w:sz w:val="17"/>
                <w:vertAlign w:val="subscript"/>
              </w:rPr>
              <w:t>v</w:t>
            </w:r>
            <w:r>
              <w:rPr>
                <w:rFonts w:ascii="Times New Roman" w:hAnsi="Times New Roman" w:eastAsia="Times New Roman"/>
                <w:i w:val="0"/>
                <w:sz w:val="17"/>
              </w:rPr>
              <w:t xml:space="preserve">, </w:t>
            </w:r>
            <w:r>
              <w:rPr>
                <w:rFonts w:ascii="Times New Roman" w:hAnsi="Times New Roman" w:eastAsia="Times New Roman"/>
                <w:i/>
                <w:sz w:val="17"/>
              </w:rPr>
              <w:t>P</w:t>
            </w:r>
            <w:r>
              <w:rPr>
                <w:rFonts w:ascii="Times New Roman" w:hAnsi="Times New Roman" w:eastAsia="Times New Roman"/>
                <w:i w:val="0"/>
                <w:sz w:val="17"/>
                <w:vertAlign w:val="subscript"/>
              </w:rPr>
              <w:t>s</w:t>
            </w:r>
            <w:r>
              <w:rPr>
                <w:rFonts w:ascii="Times New Roman" w:hAnsi="Times New Roman" w:eastAsia="Times New Roman"/>
                <w:i w:val="0"/>
                <w:sz w:val="17"/>
              </w:rPr>
              <w:t>]</w:t>
            </w:r>
            <w:r>
              <w:rPr>
                <w:rFonts w:ascii="Times New Roman" w:hAnsi="Times New Roman" w:eastAsia="Times New Roman"/>
                <w:i w:val="0"/>
                <w:sz w:val="17"/>
                <w:vertAlign w:val="superscript"/>
              </w:rPr>
              <w:t>T</w:t>
            </w:r>
            <w:r>
              <w:rPr>
                <w:rFonts w:ascii="Times New Roman" w:hAnsi="Times New Roman" w:eastAsia="Times New Roman"/>
                <w:i w:val="0"/>
                <w:sz w:val="17"/>
              </w:rPr>
              <w:t xml:space="preserve"> ∈ R</w:t>
            </w:r>
            <w:r>
              <w:rPr>
                <w:rFonts w:ascii="Times New Roman" w:hAnsi="Times New Roman" w:eastAsia="Times New Roman"/>
                <w:i w:val="0"/>
                <w:sz w:val="17"/>
                <w:vertAlign w:val="superscript"/>
              </w:rPr>
              <w:t>3</w:t>
            </w:r>
          </w:p>
        </w:tc>
        <w:tc>
          <w:tcPr>
            <w:tcW w:w="400" w:type="dxa"/>
            <w:tcMar>
              <w:top w:w="0" w:type="dxa"/>
              <w:left w:w="0" w:type="dxa"/>
              <w:bottom w:w="0" w:type="dxa"/>
              <w:right w:w="0" w:type="dxa"/>
            </w:tcMar>
          </w:tcPr>
          <w:p w14:paraId="231E8A8B">
            <w:pPr>
              <w:keepLines/>
            </w:pPr>
            <w:r>
              <w:t>(3)</w:t>
            </w:r>
          </w:p>
        </w:tc>
      </w:tr>
    </w:tbl>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622029"/>
                  <wp:docPr id="1" name="Picture 1"/>
                  <wp:cNvGraphicFramePr>
                    <a:graphicFrameLocks noChangeAspect="1"/>
                  </wp:cNvGraphicFramePr>
                  <a:graphic>
                    <a:graphicData uri="http://schemas.openxmlformats.org/drawingml/2006/picture">
                      <pic:pic>
                        <pic:nvPicPr>
                          <pic:cNvPr id="0" name="fig02.png"/>
                          <pic:cNvPicPr/>
                        </pic:nvPicPr>
                        <pic:blipFill>
                          <a:blip r:embed="rId136"/>
                          <a:stretch>
                            <a:fillRect/>
                          </a:stretch>
                        </pic:blipFill>
                        <pic:spPr>
                          <a:xfrm>
                            <a:off x="0" y="0"/>
                            <a:ext cx="2971800" cy="1622029"/>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2. Schematic diagram of the polarimetric scattering characteristics of a ship.</w:t>
            </w:r>
          </w:p>
        </w:tc>
      </w:tr>
    </w:tbl>
    <w:p w14:paraId="49A6D1A4">
      <w:pPr>
        <w:widowControl w:val="0"/>
        <w:spacing w:line="252" w:lineRule="auto"/>
        <w:ind w:firstLine="202"/>
        <w:jc w:val="both"/>
        <w:rPr>
          <w:color w:val="000000"/>
          <w:lang w:eastAsia="zh-CN"/>
        </w:rPr>
      </w:pPr>
      <w:r>
        <w:rPr>
          <w:rFonts w:ascii="Times New Roman" w:hAnsi="Times New Roman" w:eastAsia="Songti SC"/>
          <w:color w:val="000000"/>
          <w:sz w:val="20"/>
          <w:lang w:eastAsia="zh-CN"/>
        </w:rPr>
        <w:t>A rectangular annotation box gives only the rough extent of a target, and contains both hull and water. Since the hull scatters far more strongly than the sea, one fixed threshold on the rendered components separates the hull inside the box; compared with adaptive thresholding such as Otsu [32] this needs neither a per-scene histogram nor a parameter search, and the labels are reproducible by construction (Fig. 3).</w:t>
      </w:r>
    </w:p>
    <w:p w14:paraId="43E43CB0">
      <w:pPr>
        <w:widowControl w:val="0"/>
        <w:spacing w:line="252" w:lineRule="auto"/>
        <w:ind w:firstLine="202"/>
        <w:jc w:val="both"/>
        <w:rPr>
          <w:color w:val="000000"/>
          <w:lang w:eastAsia="zh-CN"/>
        </w:rPr>
      </w:pPr>
      <w:r>
        <w:rPr>
          <w:rFonts w:ascii="Times New Roman" w:hAnsi="Times New Roman" w:eastAsia="Songti SC"/>
          <w:color w:val="000000"/>
          <w:sz w:val="20"/>
          <w:lang w:eastAsia="zh-CN"/>
        </w:rPr>
        <w:t>To place the three components on a common intensity scale, each is clipped to the unit interval and scaled by 255 into an 8-bit rendering, whose luminance is taken with the published ITU-R BT.601 weights [33]:</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625A5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3119F33A">
            <w:pPr>
              <w:keepLines/>
            </w:pPr>
            <m:oMathPara>
              <m:oMath>
                <m:r>
                  <m:rPr/>
                  <w:rPr>
                    <w:rFonts w:ascii="Cambria Math" w:hAnsi="Cambria Math"/>
                    <w:sz w:val="17"/>
                    <w:szCs w:val="17"/>
                  </w:rPr>
                  <m:t>L</m:t>
                </m:r>
                <m:r>
                  <m:rPr>
                    <m:nor/>
                    <m:sty m:val="p"/>
                  </m:rPr>
                  <w:rPr>
                    <w:rFonts w:ascii="Cambria Math" w:hAnsi="Cambria Math"/>
                    <w:b w:val="0"/>
                    <w:i w:val="0"/>
                    <w:sz w:val="17"/>
                    <w:szCs w:val="17"/>
                  </w:rPr>
                  <m:t> = 0.299</m:t>
                </m:r>
                <m:r>
                  <m:rPr/>
                  <w:rPr>
                    <w:rFonts w:ascii="Cambria Math" w:hAnsi="Cambria Math"/>
                    <w:sz w:val="17"/>
                    <w:szCs w:val="17"/>
                  </w:rPr>
                  <m:t>R</m:t>
                </m:r>
                <m:r>
                  <m:rPr>
                    <m:nor/>
                    <m:sty m:val="p"/>
                  </m:rPr>
                  <w:rPr>
                    <w:rFonts w:ascii="Cambria Math" w:hAnsi="Cambria Math"/>
                    <w:b w:val="0"/>
                    <w:i w:val="0"/>
                    <w:sz w:val="17"/>
                    <w:szCs w:val="17"/>
                  </w:rPr>
                  <m:t> + 0.587</m:t>
                </m:r>
                <m:r>
                  <m:rPr/>
                  <w:rPr>
                    <w:rFonts w:ascii="Cambria Math" w:hAnsi="Cambria Math"/>
                    <w:sz w:val="17"/>
                    <w:szCs w:val="17"/>
                  </w:rPr>
                  <m:t>G</m:t>
                </m:r>
                <m:r>
                  <m:rPr>
                    <m:nor/>
                    <m:sty m:val="p"/>
                  </m:rPr>
                  <w:rPr>
                    <w:rFonts w:ascii="Cambria Math" w:hAnsi="Cambria Math"/>
                    <w:b w:val="0"/>
                    <w:i w:val="0"/>
                    <w:sz w:val="17"/>
                    <w:szCs w:val="17"/>
                  </w:rPr>
                  <m:t> + 0.114</m:t>
                </m:r>
                <m:r>
                  <m:rPr/>
                  <w:rPr>
                    <w:rFonts w:ascii="Cambria Math" w:hAnsi="Cambria Math"/>
                    <w:sz w:val="17"/>
                    <w:szCs w:val="17"/>
                  </w:rPr>
                  <m:t>B</m:t>
                </m:r>
              </m:oMath>
            </m:oMathPara>
          </w:p>
        </w:tc>
        <w:tc>
          <w:tcPr>
            <w:tcW w:w="400" w:type="dxa"/>
            <w:tcMar>
              <w:top w:w="0" w:type="dxa"/>
              <w:left w:w="0" w:type="dxa"/>
              <w:bottom w:w="0" w:type="dxa"/>
              <w:right w:w="0" w:type="dxa"/>
            </w:tcMar>
          </w:tcPr>
          <w:p w14:paraId="4A3B51C8">
            <w:pPr>
              <w:keepLines/>
            </w:pPr>
            <w:r>
              <w:t>(4)</w:t>
            </w:r>
          </w:p>
        </w:tc>
      </w:tr>
    </w:tbl>
    <w:p w14:paraId="39EFDB04">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R, G and B are the 8-bit renderings of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s</m:t>
            </m:r>
            <m:ctrlPr>
              <w:rPr>
                <w:rFonts w:ascii="Cambria Math" w:hAnsi="Cambria Math"/>
              </w:rPr>
            </m:ctrlPr>
          </m:sub>
        </m:sSub>
      </m:oMath>
      <w:r>
        <w:rPr>
          <w:rFonts w:ascii="Times New Roman" w:hAnsi="Times New Roman" w:eastAsia="Songti SC"/>
          <w:color w:val="000000"/>
          <w:sz w:val="20"/>
          <w:lang w:eastAsia="zh-CN"/>
        </w:rPr>
        <w:t>.</w:t>
      </w:r>
    </w:p>
    <w:p w14:paraId="2B9885FD">
      <w:p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tbl>
      <w:tblPr>
        <w:jc w:val="center"/>
        <w:tblLook w:firstColumn="1" w:firstRow="1" w:lastColumn="0" w:lastRow="0" w:noHBand="0" w:noVBand="1" w:val="04A0"/>
        <w:tblBorders>
          <w:top w:val="nil"/>
          <w:left w:val="nil"/>
          <w:bottom w:val="nil"/>
          <w:right w:val="nil"/>
          <w:insideH w:val="nil"/>
          <w:insideV w:val="nil"/>
        </w:tblBorders>
        <w:tblW w:w="4536" w:type="dxa"/>
        <w:tblLayout w:type="fixed"/>
        <w:tblInd w:w="0" w:type="dxa"/>
      </w:tblPr>
      <w:tblGrid>
        <w:gridCol w:w="4536"/>
      </w:tblGrid>
      <w:tr>
        <w:trPr>
          <w:cantSplit/>
        </w:trPr>
        <w:tc>
          <w:tcPr>
            <w:tcW w:type="dxa" w:w="4536"/>
            <w:tcMar>
              <w:left w:w="0" w:type="dxa"/>
              <w:right w:w="0" w:type="dxa"/>
            </w:tcMar>
          </w:tcPr>
          <w:p>
            <w:pPr>
              <w:spacing w:before="40" w:after="40"/>
              <w:jc w:val="center"/>
            </w:pPr>
            <w:r>
              <w:drawing>
                <wp:inline xmlns:a="http://schemas.openxmlformats.org/drawingml/2006/main" xmlns:pic="http://schemas.openxmlformats.org/drawingml/2006/picture">
                  <wp:extent cx="2971800" cy="849917"/>
                  <wp:docPr id="2" name="Picture 2"/>
                  <wp:cNvGraphicFramePr>
                    <a:graphicFrameLocks noChangeAspect="1"/>
                  </wp:cNvGraphicFramePr>
                  <a:graphic>
                    <a:graphicData uri="http://schemas.openxmlformats.org/drawingml/2006/picture">
                      <pic:pic>
                        <pic:nvPicPr>
                          <pic:cNvPr id="0" name="fig03.png"/>
                          <pic:cNvPicPr/>
                        </pic:nvPicPr>
                        <pic:blipFill>
                          <a:blip r:embed="rId137"/>
                          <a:stretch>
                            <a:fillRect/>
                          </a:stretch>
                        </pic:blipFill>
                        <pic:spPr>
                          <a:xfrm>
                            <a:off x="0" y="0"/>
                            <a:ext cx="2971800" cy="849917"/>
                          </a:xfrm>
                          <a:prstGeom prst="rect"/>
                        </pic:spPr>
                      </pic:pic>
                    </a:graphicData>
                  </a:graphic>
                </wp:inline>
              </w:drawing>
            </w:r>
          </w:p>
        </w:tc>
      </w:tr>
      <w:tr>
        <w:trPr>
          <w:cantSplit/>
        </w:trPr>
        <w:tc>
          <w:tcPr>
            <w:tcW w:type="dxa" w:w="4536"/>
            <w:tcMar>
              <w:left w:w="0" w:type="dxa"/>
              <w:right w:w="0" w:type="dxa"/>
            </w:tcMar>
          </w:tcPr>
          <w:p>
            <w:pPr>
              <w:spacing w:before="40" w:after="80"/>
              <w:jc w:val="left"/>
            </w:pPr>
            <w:r>
              <w:rPr>
                <w:rFonts w:ascii="Times New Roman" w:hAnsi="Times New Roman" w:eastAsia="Songti SC"/>
                <w:sz w:val="15"/>
              </w:rPr>
              <w:t>Fig. 3. Construction of the pixel-level dataset based on single-threshold segmentation.</w:t>
            </w:r>
          </w:p>
        </w:tc>
      </w:tr>
    </w:tbl>
    <w:p w14:paraId="1646E70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A threshold of </w:t>
      </w:r>
      <m:oMath>
        <m:r>
          <m:rPr/>
          <w:rPr>
            <w:rFonts w:ascii="Cambria Math" w:hAnsi="Cambria Math"/>
          </w:rPr>
          <m:t>τ</m:t>
        </m:r>
      </m:oMath>
      <w:r>
        <w:rPr>
          <w:rFonts w:ascii="Times New Roman" w:hAnsi="Times New Roman" w:eastAsia="Songti SC"/>
          <w:color w:val="000000"/>
          <w:sz w:val="20"/>
          <w:lang w:eastAsia="zh-CN"/>
        </w:rPr>
        <w:t xml:space="preserve"> = 40 on the luminance map gives the pixel-level hard labels: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1CD2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3B737DF5">
            <w:pPr>
              <w:keepLines/>
              <w:jc w:val="center"/>
            </w:pPr>
            <m:oMathPara>
              <m:oMath>
                <m:sSub>
                  <m:sSubPr>
                    <m:ctrlPr>
                      <w:rPr>
                        <w:rFonts w:ascii="Cambria Math" w:hAnsi="Cambria Math"/>
                        <w:sz w:val="17"/>
                        <w:szCs w:val="17"/>
                      </w:rPr>
                    </m:ctrlPr>
                  </m:sSubPr>
                  <m:e>
                    <m:r>
                      <m:rPr/>
                      <w:rPr>
                        <w:rFonts w:ascii="Cambria Math" w:hAnsi="Cambria Math"/>
                        <w:sz w:val="17"/>
                        <w:szCs w:val="17"/>
                      </w:rPr>
                      <m:t>y</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xml:space="preserve"> = </m:t>
                </m:r>
                <m:d>
                  <m:dPr>
                    <m:begChr m:val="{"/>
                    <m:endChr m:val=""/>
                    <m:ctrlPr>
                      <w:rPr>
                        <w:rFonts w:ascii="Cambria Math" w:hAnsi="Cambria Math"/>
                        <w:sz w:val="17"/>
                        <w:szCs w:val="17"/>
                      </w:rPr>
                    </m:ctrlPr>
                  </m:dPr>
                  <m:e>
                    <m:eqArr>
                      <m:eqArrPr>
                        <m:ctrlPr>
                          <w:rPr>
                            <w:rFonts w:ascii="Cambria Math" w:hAnsi="Cambria Math"/>
                            <w:sz w:val="17"/>
                            <w:szCs w:val="17"/>
                          </w:rPr>
                        </m:ctrlPr>
                      </m:eqArrPr>
                      <m:e>
                        <m:r>
                          <m:rPr>
                            <m:nor/>
                            <m:sty m:val="p"/>
                          </m:rPr>
                          <w:rPr>
                            <w:rFonts w:ascii="Cambria Math" w:hAnsi="Cambria Math"/>
                            <w:b w:val="0"/>
                            <w:i w:val="0"/>
                            <w:sz w:val="17"/>
                            <w:szCs w:val="17"/>
                          </w:rPr>
                          <m:t>1, </m:t>
                        </m:r>
                        <m:sSub>
                          <m:sSubPr>
                            <m:ctrlPr>
                              <w:rPr>
                                <w:rFonts w:ascii="Cambria Math" w:hAnsi="Cambria Math"/>
                                <w:sz w:val="17"/>
                                <w:szCs w:val="17"/>
                              </w:rPr>
                            </m:ctrlPr>
                          </m:sSubPr>
                          <m:e>
                            <m:r>
                              <m:rPr/>
                              <w:rPr>
                                <w:rFonts w:ascii="Cambria Math" w:hAnsi="Cambria Math"/>
                                <w:sz w:val="17"/>
                                <w:szCs w:val="17"/>
                              </w:rPr>
                              <m:t>L</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xml:space="preserve"> ≥ </m:t>
                        </m:r>
                        <m:r>
                          <m:rPr/>
                          <w:rPr>
                            <w:rFonts w:ascii="Cambria Math" w:hAnsi="Cambria Math"/>
                            <w:sz w:val="17"/>
                            <w:szCs w:val="17"/>
                          </w:rPr>
                          <m:t>τ</m:t>
                        </m:r>
                        <m:ctrlPr>
                          <w:rPr>
                            <w:rFonts w:ascii="Cambria Math" w:hAnsi="Cambria Math"/>
                            <w:sz w:val="17"/>
                            <w:szCs w:val="17"/>
                          </w:rPr>
                        </m:ctrlPr>
                      </m:e>
                      <m:e>
                        <m:r>
                          <m:rPr>
                            <m:nor/>
                            <m:sty m:val="p"/>
                          </m:rPr>
                          <w:rPr>
                            <w:rFonts w:ascii="Cambria Math" w:hAnsi="Cambria Math"/>
                            <w:b w:val="0"/>
                            <w:i w:val="0"/>
                            <w:sz w:val="17"/>
                            <w:szCs w:val="17"/>
                          </w:rPr>
                          <m:t>0, </m:t>
                        </m:r>
                        <m:sSub>
                          <m:sSubPr>
                            <m:ctrlPr>
                              <w:rPr>
                                <w:rFonts w:ascii="Cambria Math" w:hAnsi="Cambria Math"/>
                                <w:sz w:val="17"/>
                                <w:szCs w:val="17"/>
                              </w:rPr>
                            </m:ctrlPr>
                          </m:sSubPr>
                          <m:e>
                            <m:r>
                              <m:rPr/>
                              <w:rPr>
                                <w:rFonts w:ascii="Cambria Math" w:hAnsi="Cambria Math"/>
                                <w:sz w:val="17"/>
                                <w:szCs w:val="17"/>
                              </w:rPr>
                              <m:t>L</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xml:space="preserve"> &lt; </m:t>
                        </m:r>
                        <m:r>
                          <m:rPr/>
                          <w:rPr>
                            <w:rFonts w:ascii="Cambria Math" w:hAnsi="Cambria Math"/>
                            <w:sz w:val="17"/>
                            <w:szCs w:val="17"/>
                          </w:rPr>
                          <m:t>τ</m:t>
                        </m:r>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62F75D38">
            <w:pPr>
              <w:keepLines/>
              <w:jc w:val="right"/>
            </w:pPr>
            <w:r>
              <w:t>(5)</w:t>
            </w:r>
          </w:p>
        </w:tc>
      </w:tr>
    </w:tbl>
    <w:p w14:paraId="4FDB3E29">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rPr>
          <w:rFonts w:ascii="Times New Roman" w:hAnsi="Times New Roman" w:eastAsia="Songti SC"/>
          <w:color w:val="000000"/>
          <w:sz w:val="20"/>
          <w:lang w:eastAsia="zh-CN"/>
        </w:rPr>
        <w:t xml:space="preserve"> is the hard label of pixel i (1 for ship, 0 for sea).</w:t>
      </w:r>
    </w:p>
    <w:p w14:paraId="7BCDD709">
      <w:pPr>
        <w:widowControl w:val="0"/>
        <w:spacing w:line="252" w:lineRule="auto"/>
        <w:ind w:firstLine="202"/>
        <w:jc w:val="both"/>
        <w:rPr>
          <w:color w:val="000000"/>
          <w:lang w:eastAsia="zh-CN"/>
        </w:rPr>
      </w:pPr>
      <w:r>
        <w:rPr>
          <w:rFonts w:ascii="Times New Roman" w:hAnsi="Times New Roman" w:eastAsia="Songti SC"/>
          <w:b w:val="0"/>
          <w:i w:val="0"/>
          <w:color w:val="000000"/>
          <w:sz w:val="20"/>
        </w:rPr>
        <w:t>Supervising the symbolic regression directly with such hard labels raises two problems. First, the 0/1 labels jump at the ship-sea boundary, so the search oscillates along the transition band and tends to produce structurally redundant expressions. Second, a hard label gives no distance to the decision boundary, so a small feature change flips the label and the search has no stable improvement direction. A soft label provides a graded target in the transition band; we use it for optimization geometry, not because it carries more Shannon information than a hard label.</w:t>
      </w:r>
    </w:p>
    <w:p w14:paraId="3087E907">
      <w:pPr>
        <w:widowControl w:val="0"/>
        <w:spacing w:line="252" w:lineRule="auto"/>
        <w:ind w:firstLine="202"/>
        <w:jc w:val="both"/>
        <w:rPr>
          <w:color w:val="000000"/>
          <w:lang w:eastAsia="zh-CN"/>
        </w:rPr>
      </w:pPr>
      <w:r>
        <w:rPr>
          <w:rFonts w:ascii="Times New Roman" w:hAnsi="Times New Roman" w:eastAsia="Songti SC"/>
          <w:b w:val="0"/>
          <w:i w:val="0"/>
          <w:color w:val="000000"/>
          <w:sz w:val="20"/>
        </w:rPr>
        <w:t>To solve these problems, we insert a soft-label step between the hard labels and the symbolic regression. A lightweight MLP teacher takes the three-dimensional scattering feature of each pixel and is trained against the hard label. Because ship and water features differ, the teacher learns a continuous decision boundary and outputs a ship-membership probability, which becomes the regression target of the symbolic search.</w:t>
      </w:r>
    </w:p>
    <w:p w14:paraId="72C83263">
      <w:pPr>
        <w:widowControl w:val="0"/>
        <w:spacing w:line="252" w:lineRule="auto"/>
        <w:ind w:firstLine="202"/>
        <w:jc w:val="both"/>
        <w:rPr>
          <w:color w:val="000000"/>
          <w:lang w:eastAsia="zh-CN"/>
        </w:rPr>
      </w:pPr>
      <w:r>
        <w:rPr>
          <w:rFonts w:ascii="Times New Roman" w:hAnsi="Times New Roman" w:eastAsia="Songti SC"/>
          <w:color w:val="000000"/>
          <w:sz w:val="20"/>
          <w:lang w:eastAsia="zh-CN"/>
        </w:rPr>
        <w:t>A multilayer perceptron is a stack of fully connected layers in which every unit forms a weighted sum of all outputs of the previous layer and passes it through a nonlinear activation, so it represents a smooth, globally defined nonlinear map from a low-dimensional feature to a score; its capacity is set by the layer widths rather than by any structural assumption, which keeps it small and strongly regularized. The teacher uses this lightweight fully connected form: the input is the independent three-dimensional feature of each pixel, so fully connected layers suffice, the parameter count stays small, and the decision boundary stays smooth, which is what makes a concise analytical expression findable afterwards.</w:t>
      </w:r>
    </w:p>
    <w:p w14:paraId="4FADEE80">
      <w:p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547024"/>
                  <wp:docPr id="3" name="Picture 3"/>
                  <wp:cNvGraphicFramePr>
                    <a:graphicFrameLocks noChangeAspect="1"/>
                  </wp:cNvGraphicFramePr>
                  <a:graphic>
                    <a:graphicData uri="http://schemas.openxmlformats.org/drawingml/2006/picture">
                      <pic:pic>
                        <pic:nvPicPr>
                          <pic:cNvPr id="0" name="fig04.png"/>
                          <pic:cNvPicPr/>
                        </pic:nvPicPr>
                        <pic:blipFill>
                          <a:blip r:embed="rId138"/>
                          <a:stretch>
                            <a:fillRect/>
                          </a:stretch>
                        </pic:blipFill>
                        <pic:spPr>
                          <a:xfrm>
                            <a:off x="0" y="0"/>
                            <a:ext cx="2971800" cy="1547024"/>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4. Structure of the teacher MLP network.</w:t>
            </w:r>
          </w:p>
        </w:tc>
      </w:tr>
    </w:tbl>
    <w:p w14:paraId="7BBBCA0D">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mapping is implemented by the three-layer feedforward network shown in Fig. 4: three input neurons receive the three scattering components, the two hidden layers contain 64 neurons each, and the output layer applies a Sigmoid activation to give the learned continuous ship membership. The forward propagation is as follows.</w:t>
      </w:r>
    </w:p>
    <w:p w14:paraId="3EB9EE46">
      <w:pPr>
        <w:widowControl w:val="0"/>
        <w:spacing w:line="252" w:lineRule="auto"/>
        <w:ind w:firstLine="202"/>
        <w:jc w:val="both"/>
        <w:rPr>
          <w:color w:val="000000"/>
          <w:lang w:eastAsia="zh-CN"/>
        </w:rPr>
      </w:pPr>
      <w:r>
        <w:rPr>
          <w:rFonts w:ascii="Times New Roman" w:hAnsi="Times New Roman" w:eastAsia="Songti SC"/>
          <w:color w:val="000000"/>
          <w:sz w:val="20"/>
          <w:lang w:eastAsia="zh-CN"/>
        </w:rPr>
        <w:t>Given the input scattering feature vector x, every hidden layer applies a linear transformation followed by a ReLU activation:</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17E4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FBA9B52">
            <w:pPr>
              <w:keepLines/>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nor/>
                    <m:sty m:val="p"/>
                  </m:rPr>
                  <w:rPr>
                    <w:rFonts w:ascii="Cambria Math" w:hAnsi="Cambria Math"/>
                    <w:b w:val="0"/>
                    <w:i w:val="0"/>
                  </w:rPr>
                  <m:t> = ReLU</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w:rPr>
                            <w:rFonts w:ascii="Cambria Math" w:hAnsi="Cambria Math"/>
                            <w:b w:val="0"/>
                            <w:i w:val="0"/>
                          </w:rPr>
                          <m:t>k−1</m:t>
                        </m:r>
                        <m:ctrlPr>
                          <w:rPr>
                            <w:rFonts w:ascii="Cambria Math" w:hAnsi="Cambria Math"/>
                          </w:rPr>
                        </m:ctrlPr>
                      </m:sub>
                    </m:sSub>
                    <m:r>
                      <m:rPr>
                        <m:nor/>
                        <m:sty m:val="p"/>
                      </m:rPr>
                      <w:rPr>
                        <w:rFonts w:ascii="Cambria Math" w:hAnsi="Cambria Math"/>
                        <w:b w:val="0"/>
                        <w:i w:val="0"/>
                      </w:rPr>
                      <m:t> + </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oMath>
            </m:oMathPara>
          </w:p>
        </w:tc>
        <w:tc>
          <w:tcPr>
            <w:tcW w:w="400" w:type="dxa"/>
            <w:tcMar>
              <w:top w:w="0" w:type="dxa"/>
              <w:left w:w="0" w:type="dxa"/>
              <w:bottom w:w="0" w:type="dxa"/>
              <w:right w:w="0" w:type="dxa"/>
            </w:tcMar>
          </w:tcPr>
          <w:p w14:paraId="6BF80F8B">
            <w:pPr>
              <w:keepLines/>
              <w:tabs>
                <w:tab w:val="center" w:pos="4535"/>
                <w:tab w:val="right" w:pos="9070"/>
              </w:tabs>
              <w:jc w:val="right"/>
            </w:pPr>
            <w:r>
              <w:t>(6)</w:t>
            </w:r>
          </w:p>
        </w:tc>
      </w:tr>
    </w:tbl>
    <w:p w14:paraId="064CFE0D">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oMath>
      <w:r>
        <w:rPr>
          <w:rFonts w:ascii="Times New Roman" w:hAnsi="Times New Roman" w:eastAsia="Songti SC"/>
          <w:color w:val="000000"/>
          <w:sz w:val="20"/>
          <w:lang w:eastAsia="zh-CN"/>
        </w:rPr>
        <w:t xml:space="preserve"> in </w:t>
      </w:r>
      <m:oMath>
        <m:sSup>
          <m:sSupPr>
            <m:ctrlPr>
              <w:rPr>
                <w:rFonts w:ascii="Cambria Math" w:hAnsi="Cambria Math"/>
              </w:rPr>
            </m:ctrlPr>
          </m:sSupPr>
          <m:e>
            <m:r>
              <m:rPr>
                <m:nor/>
                <m:sty m:val="p"/>
              </m:rPr>
              <w:rPr>
                <w:rFonts w:ascii="Cambria Math" w:hAnsi="Cambria Math"/>
                <w:b w:val="0"/>
                <w:i w:val="0"/>
              </w:rPr>
              <m:t>ℝ</m:t>
            </m:r>
            <m:ctrlPr>
              <w:rPr>
                <w:rFonts w:ascii="Cambria Math" w:hAnsi="Cambria Math"/>
              </w:rPr>
            </m:ctrlPr>
          </m:e>
          <m:sup>
            <m:r>
              <m:rPr>
                <m:nor/>
                <m:sty m:val="p"/>
              </m:rPr>
              <w:rPr>
                <w:rFonts w:ascii="Cambria Math" w:hAnsi="Cambria Math"/>
                <w:b w:val="0"/>
                <w:i w:val="0"/>
              </w:rPr>
              <m:t>64×3</m:t>
            </m:r>
            <m:ctrlPr>
              <w:rPr>
                <w:rFonts w:ascii="Cambria Math" w:hAnsi="Cambria Math"/>
              </w:rPr>
            </m:ctrlPr>
          </m:sup>
        </m:sSup>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oMath>
      <w:r>
        <w:rPr>
          <w:rFonts w:ascii="Times New Roman" w:hAnsi="Times New Roman" w:eastAsia="Songti SC"/>
          <w:color w:val="000000"/>
          <w:sz w:val="20"/>
          <w:lang w:eastAsia="zh-CN"/>
        </w:rPr>
        <w:t xml:space="preserve"> in </w:t>
      </w:r>
      <m:oMath>
        <m:sSup>
          <m:sSupPr>
            <m:ctrlPr>
              <w:rPr>
                <w:rFonts w:ascii="Cambria Math" w:hAnsi="Cambria Math"/>
              </w:rPr>
            </m:ctrlPr>
          </m:sSupPr>
          <m:e>
            <m:r>
              <m:rPr>
                <m:nor/>
                <m:sty m:val="p"/>
              </m:rPr>
              <w:rPr>
                <w:rFonts w:ascii="Cambria Math" w:hAnsi="Cambria Math"/>
                <w:b w:val="0"/>
                <w:i w:val="0"/>
              </w:rPr>
              <m:t>ℝ</m:t>
            </m:r>
            <m:ctrlPr>
              <w:rPr>
                <w:rFonts w:ascii="Cambria Math" w:hAnsi="Cambria Math"/>
              </w:rPr>
            </m:ctrlPr>
          </m:e>
          <m:sup>
            <m:r>
              <m:rPr>
                <m:nor/>
                <m:sty m:val="p"/>
              </m:rPr>
              <w:rPr>
                <w:rFonts w:ascii="Cambria Math" w:hAnsi="Cambria Math"/>
                <w:b w:val="0"/>
                <w:i w:val="0"/>
              </w:rPr>
              <m:t>64</m:t>
            </m:r>
            <m:ctrlPr>
              <w:rPr>
                <w:rFonts w:ascii="Cambria Math" w:hAnsi="Cambria Math"/>
              </w:rPr>
            </m:ctrlPr>
          </m:sup>
        </m:sSup>
      </m:oMath>
      <w:r>
        <w:rPr>
          <w:rFonts w:ascii="Times New Roman" w:hAnsi="Times New Roman" w:eastAsia="Songti SC"/>
          <w:color w:val="000000"/>
          <w:sz w:val="20"/>
          <w:lang w:eastAsia="zh-CN"/>
        </w:rPr>
        <w:t xml:space="preserve"> are the parameters of the first hidden layer; the second takes the same form with a 64 × 64 weight matrix and a 64-dimensional bias. The one-sided suppression of ReLU agrees with the non-negative scattering power, so invalid combinations are zeroed and the features stay sparse.</w:t>
      </w:r>
    </w:p>
    <w:p w14:paraId="0EF49EB2">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output layer aggregates the high-order features into a scalar and maps it through the Sigmoid function to the ship membership probability:</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B7C9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3757DE88">
            <w:pPr>
              <w:keepLines/>
              <w:tabs>
                <w:tab w:val="center" w:pos="4535"/>
                <w:tab w:val="right" w:pos="9070"/>
              </w:tabs>
              <w:jc w:val="center"/>
            </w:pPr>
            <m:oMathPara>
              <m:oMath>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r>
                  <m:rPr>
                    <m:nor/>
                    <m:sty m:val="p"/>
                  </m:rPr>
                  <w:rPr>
                    <w:rFonts w:ascii="Cambria Math" w:hAnsi="Cambria Math"/>
                    <w:b w:val="0"/>
                    <w:i w:val="0"/>
                    <w:sz w:val="17"/>
                    <w:szCs w:val="17"/>
                  </w:rPr>
                  <m:t> = </m:t>
                </m:r>
                <m:r>
                  <m:rPr/>
                  <w:rPr>
                    <w:rFonts w:ascii="Cambria Math" w:hAnsi="Cambria Math"/>
                    <w:sz w:val="17"/>
                    <w:szCs w:val="17"/>
                  </w:rPr>
                  <m:t>σ</m:t>
                </m:r>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r>
                  <m:rPr>
                    <m:nor/>
                    <m:sty m:val="p"/>
                  </m:rPr>
                  <w:rPr>
                    <w:rFonts w:ascii="Cambria Math" w:hAnsi="Cambria Math"/>
                    <w:b w:val="0"/>
                    <w:i w:val="0"/>
                    <w:sz w:val="17"/>
                    <w:szCs w:val="17"/>
                  </w:rPr>
                  <m:t> = </m:t>
                </m:r>
                <m:f>
                  <m:fPr>
                    <m:ctrlPr>
                      <w:rPr>
                        <w:rFonts w:ascii="Cambria Math" w:hAnsi="Cambria Math"/>
                        <w:sz w:val="17"/>
                        <w:szCs w:val="17"/>
                      </w:rPr>
                    </m:ctrlPr>
                  </m:fPr>
                  <m:num>
                    <m:r>
                      <m:rPr>
                        <m:nor/>
                        <m:sty m:val="p"/>
                      </m:rPr>
                      <w:rPr>
                        <w:rFonts w:ascii="Cambria Math" w:hAnsi="Cambria Math"/>
                        <w:b w:val="0"/>
                        <w:i w:val="0"/>
                        <w:sz w:val="17"/>
                        <w:szCs w:val="17"/>
                      </w:rPr>
                      <m:t>1</m:t>
                    </m:r>
                    <m:ctrlPr>
                      <w:rPr>
                        <w:rFonts w:ascii="Cambria Math" w:hAnsi="Cambria Math"/>
                        <w:sz w:val="17"/>
                        <w:szCs w:val="17"/>
                      </w:rPr>
                    </m:ctrlPr>
                  </m:num>
                  <m:den>
                    <m:r>
                      <m:rPr>
                        <m:nor/>
                        <m:sty m:val="p"/>
                      </m:rPr>
                      <w:rPr>
                        <w:rFonts w:ascii="Cambria Math" w:hAnsi="Cambria Math"/>
                        <w:b w:val="0"/>
                        <w:i w:val="0"/>
                        <w:sz w:val="17"/>
                        <w:szCs w:val="17"/>
                      </w:rPr>
                      <m:t>1+exp</m:t>
                    </m:r>
                    <m:d>
                      <m:dPr>
                        <m:ctrlPr>
                          <w:rPr>
                            <w:rFonts w:ascii="Cambria Math" w:hAnsi="Cambria Math"/>
                            <w:sz w:val="17"/>
                            <w:szCs w:val="17"/>
                          </w:rPr>
                        </m:ctrlPr>
                      </m:dPr>
                      <m:e>
                        <m:r>
                          <m:rPr>
                            <m:nor/>
                            <m:sty m:val="p"/>
                          </m:rPr>
                          <w:rPr>
                            <w:rFonts w:ascii="Cambria Math" w:hAnsi="Cambria Math"/>
                            <w:b w:val="0"/>
                            <w:i w:val="0"/>
                            <w:sz w:val="17"/>
                            <w:szCs w:val="17"/>
                          </w:rPr>
                          <m:t> − </m:t>
                        </m:r>
                        <m:r>
                          <m:rPr/>
                          <w:rPr>
                            <w:rFonts w:ascii="Cambria Math" w:hAnsi="Cambria Math"/>
                            <w:sz w:val="17"/>
                            <w:szCs w:val="17"/>
                          </w:rPr>
                          <m:t>z</m:t>
                        </m:r>
                        <m:ctrlPr>
                          <w:rPr>
                            <w:rFonts w:ascii="Cambria Math" w:hAnsi="Cambria Math"/>
                            <w:sz w:val="17"/>
                            <w:szCs w:val="17"/>
                          </w:rPr>
                        </m:ctrlPr>
                      </m:e>
                    </m:d>
                    <m:ctrlPr>
                      <w:rPr>
                        <w:rFonts w:ascii="Cambria Math" w:hAnsi="Cambria Math"/>
                        <w:sz w:val="17"/>
                        <w:szCs w:val="17"/>
                      </w:rPr>
                    </m:ctrlPr>
                  </m:den>
                </m:f>
                <m:r>
                  <m:rPr>
                    <m:nor/>
                    <m:sty m:val="p"/>
                  </m:rPr>
                  <w:rPr>
                    <w:rFonts w:ascii="Cambria Math" w:hAnsi="Cambria Math"/>
                    <w:b w:val="0"/>
                    <w:i w:val="0"/>
                    <w:sz w:val="17"/>
                    <w:szCs w:val="17"/>
                  </w:rPr>
                  <m:t>, </m:t>
                </m:r>
                <m:r>
                  <m:rPr/>
                  <w:rPr>
                    <w:rFonts w:ascii="Cambria Math" w:hAnsi="Cambria Math"/>
                    <w:sz w:val="17"/>
                    <w:szCs w:val="17"/>
                  </w:rPr>
                  <m:t>z</m:t>
                </m:r>
                <m:r>
                  <m:rPr>
                    <m:nor/>
                    <m:sty m:val="p"/>
                  </m:rPr>
                  <w:rPr>
                    <w:rFonts w:ascii="Cambria Math" w:hAnsi="Cambria Math"/>
                    <w:b w:val="0"/>
                    <w:i w:val="0"/>
                    <w:sz w:val="17"/>
                    <w:szCs w:val="17"/>
                  </w:rPr>
                  <m:t> = </m:t>
                </m:r>
                <m:sSup>
                  <m:sSupPr>
                    <m:ctrlPr>
                      <w:rPr>
                        <w:rFonts w:ascii="Cambria Math" w:hAnsi="Cambria Math"/>
                        <w:sz w:val="17"/>
                        <w:szCs w:val="17"/>
                      </w:rPr>
                    </m:ctrlPr>
                  </m:sSupPr>
                  <m:e>
                    <m:sSub>
                      <m:sSubPr>
                        <m:ctrlPr>
                          <w:rPr>
                            <w:rFonts w:ascii="Cambria Math" w:hAnsi="Cambria Math"/>
                            <w:sz w:val="17"/>
                            <w:szCs w:val="17"/>
                          </w:rPr>
                        </m:ctrlPr>
                      </m:sSubPr>
                      <m:e>
                        <m:r>
                          <m:rPr/>
                          <w:rPr>
                            <w:rFonts w:ascii="Cambria Math" w:hAnsi="Cambria Math"/>
                            <w:sz w:val="17"/>
                            <w:szCs w:val="17"/>
                          </w:rPr>
                          <m:t>w</m:t>
                        </m:r>
                        <m:ctrlPr>
                          <w:rPr>
                            <w:rFonts w:ascii="Cambria Math" w:hAnsi="Cambria Math"/>
                            <w:sz w:val="17"/>
                            <w:szCs w:val="17"/>
                          </w:rPr>
                        </m:ctrlPr>
                      </m:e>
                      <m:sub>
                        <m:r>
                          <m:rPr>
                            <m:nor/>
                            <m:sty m:val="p"/>
                          </m:rPr>
                          <w:rPr>
                            <w:rFonts w:ascii="Cambria Math" w:hAnsi="Cambria Math"/>
                            <w:b w:val="0"/>
                            <w:i w:val="0"/>
                            <w:sz w:val="17"/>
                            <w:szCs w:val="17"/>
                          </w:rPr>
                          <m:t>3</m:t>
                        </m:r>
                        <m:ctrlPr>
                          <w:rPr>
                            <w:rFonts w:ascii="Cambria Math" w:hAnsi="Cambria Math"/>
                            <w:sz w:val="17"/>
                            <w:szCs w:val="17"/>
                          </w:rPr>
                        </m:ctrlPr>
                      </m:sub>
                    </m:sSub>
                    <m:ctrlPr>
                      <w:rPr>
                        <w:rFonts w:ascii="Cambria Math" w:hAnsi="Cambria Math"/>
                        <w:sz w:val="17"/>
                        <w:szCs w:val="17"/>
                      </w:rPr>
                    </m:ctrlPr>
                  </m:e>
                  <m:sup>
                    <m:r>
                      <m:rPr>
                        <m:nor/>
                        <m:sty m:val="p"/>
                      </m:rPr>
                      <w:rPr>
                        <w:rFonts w:ascii="Cambria Math" w:hAnsi="Cambria Math"/>
                        <w:b w:val="0"/>
                        <w:i w:val="0"/>
                        <w:sz w:val="17"/>
                        <w:szCs w:val="17"/>
                      </w:rPr>
                      <m:t>T</m:t>
                    </m:r>
                    <m:ctrlPr>
                      <w:rPr>
                        <w:rFonts w:ascii="Cambria Math" w:hAnsi="Cambria Math"/>
                        <w:sz w:val="17"/>
                        <w:szCs w:val="17"/>
                      </w:rPr>
                    </m:ctrlPr>
                  </m:sup>
                </m:sSup>
                <m:sSub>
                  <m:sSubPr>
                    <m:ctrlPr>
                      <w:rPr>
                        <w:rFonts w:ascii="Cambria Math" w:hAnsi="Cambria Math"/>
                        <w:sz w:val="17"/>
                        <w:szCs w:val="17"/>
                      </w:rPr>
                    </m:ctrlPr>
                  </m:sSubPr>
                  <m:e>
                    <m:r>
                      <m:rPr/>
                      <w:rPr>
                        <w:rFonts w:ascii="Cambria Math" w:hAnsi="Cambria Math"/>
                        <w:sz w:val="17"/>
                        <w:szCs w:val="17"/>
                      </w:rPr>
                      <m:t>h</m:t>
                    </m:r>
                    <m:ctrlPr>
                      <w:rPr>
                        <w:rFonts w:ascii="Cambria Math" w:hAnsi="Cambria Math"/>
                        <w:sz w:val="17"/>
                        <w:szCs w:val="17"/>
                      </w:rPr>
                    </m:ctrlPr>
                  </m:e>
                  <m:sub>
                    <m:r>
                      <m:rPr>
                        <m:nor/>
                        <m:sty m:val="p"/>
                      </m:rPr>
                      <w:rPr>
                        <w:rFonts w:ascii="Cambria Math" w:hAnsi="Cambria Math"/>
                        <w:b w:val="0"/>
                        <w:i w:val="0"/>
                        <w:sz w:val="17"/>
                        <w:szCs w:val="17"/>
                      </w:rPr>
                      <m:t>2</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b</m:t>
                    </m:r>
                    <m:ctrlPr>
                      <w:rPr>
                        <w:rFonts w:ascii="Cambria Math" w:hAnsi="Cambria Math"/>
                        <w:sz w:val="17"/>
                        <w:szCs w:val="17"/>
                      </w:rPr>
                    </m:ctrlPr>
                  </m:e>
                  <m:sub>
                    <m:r>
                      <m:rPr>
                        <m:nor/>
                        <m:sty m:val="p"/>
                      </m:rPr>
                      <w:rPr>
                        <w:rFonts w:ascii="Cambria Math" w:hAnsi="Cambria Math"/>
                        <w:b w:val="0"/>
                        <w:i w:val="0"/>
                        <w:sz w:val="17"/>
                        <w:szCs w:val="17"/>
                      </w:rPr>
                      <m:t>3</m:t>
                    </m:r>
                    <m:ctrlPr>
                      <w:rPr>
                        <w:rFonts w:ascii="Cambria Math" w:hAnsi="Cambria Math"/>
                        <w:sz w:val="17"/>
                        <w:szCs w:val="17"/>
                      </w:rPr>
                    </m:ctrlPr>
                  </m:sub>
                </m:sSub>
              </m:oMath>
            </m:oMathPara>
          </w:p>
        </w:tc>
        <w:tc>
          <w:tcPr>
            <w:tcW w:w="400" w:type="dxa"/>
            <w:tcMar>
              <w:top w:w="0" w:type="dxa"/>
              <w:left w:w="0" w:type="dxa"/>
              <w:bottom w:w="0" w:type="dxa"/>
              <w:right w:w="0" w:type="dxa"/>
            </w:tcMar>
          </w:tcPr>
          <w:p w14:paraId="4AAFAACD">
            <w:pPr>
              <w:keepLines/>
              <w:tabs>
                <w:tab w:val="center" w:pos="4535"/>
                <w:tab w:val="right" w:pos="9070"/>
              </w:tabs>
              <w:jc w:val="right"/>
            </w:pPr>
            <w:r>
              <w:t>(7)</w:t>
            </w:r>
          </w:p>
        </w:tc>
      </w:tr>
    </w:tbl>
    <w:p w14:paraId="5F63E066">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r>
          <m:rPr/>
          <w:rPr>
            <w:rFonts w:ascii="Cambria Math" w:hAnsi="Cambria Math"/>
          </w:rPr>
          <m:t>σ</m:t>
        </m:r>
      </m:oMath>
      <w:r>
        <w:rPr>
          <w:rFonts w:ascii="Times New Roman" w:hAnsi="Times New Roman" w:eastAsia="Songti SC"/>
          <w:color w:val="000000"/>
          <w:sz w:val="20"/>
          <w:lang w:eastAsia="zh-CN"/>
        </w:rPr>
        <w:t xml:space="preserve"> is the Sigmoid function, and </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rFonts w:ascii="Cambria Math" w:hAnsi="Cambria Math"/>
                <w:b w:val="0"/>
                <w:i w:val="0"/>
              </w:rPr>
              <m:t>3</m:t>
            </m:r>
            <m:ctrlPr>
              <w:rPr>
                <w:rFonts w:ascii="Cambria Math" w:hAnsi="Cambria Math"/>
              </w:rPr>
            </m:ctrlPr>
          </m:sub>
        </m:sSub>
      </m:oMath>
      <w:r>
        <w:rPr>
          <w:rFonts w:ascii="Times New Roman" w:hAnsi="Times New Roman" w:eastAsia="Songti SC"/>
          <w:color w:val="000000"/>
          <w:sz w:val="20"/>
          <w:lang w:eastAsia="zh-CN"/>
        </w:rPr>
        <w:t xml:space="preserve"> in </w:t>
      </w:r>
      <m:oMath>
        <m:sSup>
          <m:sSupPr>
            <m:ctrlPr>
              <w:rPr>
                <w:rFonts w:ascii="Cambria Math" w:hAnsi="Cambria Math"/>
              </w:rPr>
            </m:ctrlPr>
          </m:sSupPr>
          <m:e>
            <m:r>
              <m:rPr>
                <m:nor/>
                <m:sty m:val="p"/>
              </m:rPr>
              <w:rPr>
                <w:rFonts w:ascii="Cambria Math" w:hAnsi="Cambria Math"/>
                <w:b w:val="0"/>
                <w:i w:val="0"/>
              </w:rPr>
              <m:t>ℝ</m:t>
            </m:r>
            <m:ctrlPr>
              <w:rPr>
                <w:rFonts w:ascii="Cambria Math" w:hAnsi="Cambria Math"/>
              </w:rPr>
            </m:ctrlPr>
          </m:e>
          <m:sup>
            <m:r>
              <m:rPr>
                <m:nor/>
                <m:sty m:val="p"/>
              </m:rPr>
              <w:rPr>
                <w:rFonts w:ascii="Cambria Math" w:hAnsi="Cambria Math"/>
                <w:b w:val="0"/>
                <w:i w:val="0"/>
              </w:rPr>
              <m:t>64</m:t>
            </m:r>
            <m:ctrlPr>
              <w:rPr>
                <w:rFonts w:ascii="Cambria Math" w:hAnsi="Cambria Math"/>
              </w:rPr>
            </m:ctrlPr>
          </m:sup>
        </m:sSup>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rFonts w:ascii="Cambria Math" w:hAnsi="Cambria Math"/>
                <w:b w:val="0"/>
                <w:i w:val="0"/>
              </w:rPr>
              <m:t>3</m:t>
            </m:r>
            <m:ctrlPr>
              <w:rPr>
                <w:rFonts w:ascii="Cambria Math" w:hAnsi="Cambria Math"/>
              </w:rPr>
            </m:ctrlPr>
          </m:sub>
        </m:sSub>
      </m:oMath>
      <w:r>
        <w:rPr>
          <w:rFonts w:ascii="Times New Roman" w:hAnsi="Times New Roman" w:eastAsia="Songti SC"/>
          <w:color w:val="000000"/>
          <w:sz w:val="20"/>
          <w:lang w:eastAsia="zh-CN"/>
        </w:rPr>
        <w:t xml:space="preserve"> are the output-layer parameters; the output </w:t>
      </w:r>
      <m:oMath>
        <m:acc>
          <m:accPr>
            <m:ctrlPr>
              <w:rPr>
                <w:rFonts w:ascii="Cambria Math" w:hAnsi="Cambria Math"/>
              </w:rPr>
            </m:ctrlPr>
          </m:accPr>
          <m:e>
            <m:r>
              <m:rPr/>
              <w:rPr>
                <w:rFonts w:ascii="Cambria Math" w:hAnsi="Cambria Math"/>
              </w:rPr>
              <m:t>y</m:t>
            </m:r>
            <m:ctrlPr>
              <w:rPr>
                <w:rFonts w:ascii="Cambria Math" w:hAnsi="Cambria Math"/>
              </w:rPr>
            </m:ctrlPr>
          </m:e>
        </m:acc>
      </m:oMath>
      <w:r>
        <w:rPr>
          <w:rFonts w:ascii="Times New Roman" w:hAnsi="Times New Roman" w:eastAsia="Songti SC"/>
          <w:color w:val="000000"/>
          <w:sz w:val="20"/>
          <w:lang w:eastAsia="zh-CN"/>
        </w:rPr>
        <w:t xml:space="preserve"> is the soft label of that pixel.</w:t>
      </w:r>
    </w:p>
    <w:p w14:paraId="51AB0BC2">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rate of change of the Sigmoid function can be expressed by its own value: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927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210E1D4E">
            <w:pPr>
              <w:keepLines/>
              <w:tabs>
                <w:tab w:val="center" w:pos="4535"/>
                <w:tab w:val="right" w:pos="9070"/>
              </w:tabs>
              <w:jc w:val="center"/>
            </w:pPr>
            <m:oMathPara>
              <m:oMath>
                <m:sSup>
                  <m:sSupPr>
                    <m:ctrlPr>
                      <w:rPr>
                        <w:rFonts w:ascii="Cambria Math" w:hAnsi="Cambria Math"/>
                        <w:sz w:val="17"/>
                        <w:szCs w:val="17"/>
                      </w:rPr>
                    </m:ctrlPr>
                  </m:sSupPr>
                  <m:e>
                    <m:r>
                      <m:rPr/>
                      <w:rPr>
                        <w:rFonts w:ascii="Cambria Math" w:hAnsi="Cambria Math"/>
                        <w:sz w:val="17"/>
                        <w:szCs w:val="17"/>
                      </w:rPr>
                      <m:t>σ</m:t>
                    </m:r>
                    <m:ctrlPr>
                      <w:rPr>
                        <w:rFonts w:ascii="Cambria Math" w:hAnsi="Cambria Math"/>
                        <w:sz w:val="17"/>
                        <w:szCs w:val="17"/>
                      </w:rPr>
                    </m:ctrlPr>
                  </m:e>
                  <m:sup>
                    <m:r>
                      <m:rPr>
                        <m:nor/>
                        <m:sty m:val="p"/>
                      </m:rPr>
                      <w:rPr>
                        <w:rFonts w:ascii="Cambria Math" w:hAnsi="Cambria Math"/>
                        <w:b w:val="0"/>
                        <w:i w:val="0"/>
                        <w:sz w:val="17"/>
                        <w:szCs w:val="17"/>
                      </w:rPr>
                      <m:t>′</m:t>
                    </m:r>
                    <m:ctrlPr>
                      <w:rPr>
                        <w:rFonts w:ascii="Cambria Math" w:hAnsi="Cambria Math"/>
                        <w:sz w:val="17"/>
                        <w:szCs w:val="17"/>
                      </w:rPr>
                    </m:ctrlPr>
                  </m:sup>
                </m:sSup>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r>
                  <m:rPr>
                    <m:nor/>
                    <m:sty m:val="p"/>
                  </m:rPr>
                  <w:rPr>
                    <w:rFonts w:ascii="Cambria Math" w:hAnsi="Cambria Math"/>
                    <w:b w:val="0"/>
                    <w:i w:val="0"/>
                    <w:sz w:val="17"/>
                    <w:szCs w:val="17"/>
                  </w:rPr>
                  <m:t> = </m:t>
                </m:r>
                <m:r>
                  <m:rPr/>
                  <w:rPr>
                    <w:rFonts w:ascii="Cambria Math" w:hAnsi="Cambria Math"/>
                    <w:sz w:val="17"/>
                    <w:szCs w:val="17"/>
                  </w:rPr>
                  <m:t>σ</m:t>
                </m:r>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d>
                  <m:dPr>
                    <m:ctrlPr>
                      <w:rPr>
                        <w:rFonts w:ascii="Cambria Math" w:hAnsi="Cambria Math"/>
                        <w:sz w:val="17"/>
                        <w:szCs w:val="17"/>
                      </w:rPr>
                    </m:ctrlPr>
                  </m:dPr>
                  <m:e>
                    <m:r>
                      <m:rPr>
                        <m:nor/>
                        <m:sty m:val="p"/>
                      </m:rPr>
                      <w:rPr>
                        <w:rFonts w:ascii="Cambria Math" w:hAnsi="Cambria Math"/>
                        <w:b w:val="0"/>
                        <w:i w:val="0"/>
                        <w:sz w:val="17"/>
                        <w:szCs w:val="17"/>
                      </w:rPr>
                      <m:t xml:space="preserve">1 − </m:t>
                    </m:r>
                    <m:r>
                      <m:rPr/>
                      <w:rPr>
                        <w:rFonts w:ascii="Cambria Math" w:hAnsi="Cambria Math"/>
                        <w:sz w:val="17"/>
                        <w:szCs w:val="17"/>
                      </w:rPr>
                      <m:t>σ</m:t>
                    </m:r>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ctrlPr>
                      <w:rPr>
                        <w:rFonts w:ascii="Cambria Math" w:hAnsi="Cambria Math"/>
                        <w:sz w:val="17"/>
                        <w:szCs w:val="17"/>
                      </w:rPr>
                    </m:ctrlPr>
                  </m:e>
                </m:d>
                <m:r>
                  <m:rPr>
                    <m:nor/>
                    <m:sty m:val="p"/>
                  </m:rPr>
                  <w:rPr>
                    <w:rFonts w:ascii="Cambria Math" w:hAnsi="Cambria Math"/>
                    <w:b w:val="0"/>
                    <w:i w:val="0"/>
                    <w:sz w:val="17"/>
                    <w:szCs w:val="17"/>
                  </w:rPr>
                  <m:t> = </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d>
                  <m:dPr>
                    <m:ctrlPr>
                      <w:rPr>
                        <w:rFonts w:ascii="Cambria Math" w:hAnsi="Cambria Math"/>
                        <w:sz w:val="17"/>
                        <w:szCs w:val="17"/>
                      </w:rPr>
                    </m:ctrlPr>
                  </m:dPr>
                  <m:e>
                    <m:r>
                      <m:rPr>
                        <m:nor/>
                        <m:sty m:val="p"/>
                      </m:rPr>
                      <w:rPr>
                        <w:rFonts w:ascii="Cambria Math" w:hAnsi="Cambria Math"/>
                        <w:b w:val="0"/>
                        <w:i w:val="0"/>
                        <w:sz w:val="17"/>
                        <w:szCs w:val="17"/>
                      </w:rPr>
                      <m:t xml:space="preserve">1 − </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oMath>
            </m:oMathPara>
          </w:p>
        </w:tc>
        <w:tc>
          <w:tcPr>
            <w:tcW w:w="400" w:type="dxa"/>
            <w:tcMar>
              <w:top w:w="0" w:type="dxa"/>
              <w:left w:w="0" w:type="dxa"/>
              <w:bottom w:w="0" w:type="dxa"/>
              <w:right w:w="0" w:type="dxa"/>
            </w:tcMar>
          </w:tcPr>
          <w:p w14:paraId="18F74E35">
            <w:pPr>
              <w:keepLines/>
              <w:tabs>
                <w:tab w:val="center" w:pos="4535"/>
                <w:tab w:val="right" w:pos="9070"/>
              </w:tabs>
              <w:jc w:val="right"/>
            </w:pPr>
            <w:r>
              <w:t>(8)</w:t>
            </w:r>
          </w:p>
        </w:tc>
      </w:tr>
    </w:tbl>
    <w:p w14:paraId="752EEAA9">
      <w:pPr>
        <w:widowControl w:val="0"/>
        <w:spacing w:line="252" w:lineRule="auto"/>
        <w:ind w:firstLine="202"/>
        <w:jc w:val="both"/>
        <w:rPr>
          <w:color w:val="000000"/>
          <w:lang w:eastAsia="zh-CN"/>
        </w:rPr>
      </w:pPr>
      <w:r>
        <w:rPr>
          <w:rFonts w:ascii="Times New Roman" w:hAnsi="Times New Roman" w:eastAsia="Songti SC"/>
          <w:sz w:val="20"/>
        </w:rPr>
        <w:t>This derivative reaches its maximum of 0.25 at ŷ = 0.5 (the decision boundary) and decreases toward both ends: the probability surface changes fastest in the most ambiguous region. For reference, the entropy of the soft label is given by Eq. (9); it peaks at the boundary and tends to zero at the cores. We use it as a descriptive measure, not as a claim of additional Shannon information.</w:t>
      </w:r>
    </w:p>
    <w:p w14:paraId="4301593E">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network is trained with the binary cross-entropy loss, using Adam with a learning rate of 1 × 10⁻³, a batch size of 256 and 100 epochs, keeping the weights of the epoch with the best validation accuracy.</w:t>
      </w:r>
    </w:p>
    <w:p w14:paraId="1152BE02">
      <w:pPr>
        <w:widowControl w:val="0"/>
        <w:spacing w:line="252" w:lineRule="auto"/>
        <w:ind w:firstLine="202"/>
        <w:jc w:val="both"/>
        <w:rPr>
          <w:color w:val="000000"/>
          <w:lang w:eastAsia="zh-CN"/>
        </w:rPr>
      </w:pPr>
      <w:r>
        <w:rPr>
          <w:rFonts w:ascii="Times New Roman" w:hAnsi="Times New Roman" w:eastAsia="Songti SC"/>
          <w:b w:val="0"/>
          <w:i w:val="0"/>
          <w:color w:val="000000"/>
          <w:sz w:val="20"/>
        </w:rPr>
        <w:t>After training converges, the teacher outputs a continuous ship-membership probability for every pixel. These probabilities are the soft labels and serve as the regression target. The teacher is trained to reproduce the threshold labels while smoothing their boundary. The soft label is not intended to carry more Shannon information than the hard label; its role is to provide a continuous regression target.</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2368F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FBB0EE3">
            <w:pPr>
              <w:keepLines/>
              <w:tabs>
                <w:tab w:val="center" w:pos="4535"/>
                <w:tab w:val="right" w:pos="9070"/>
              </w:tabs>
              <w:jc w:val="center"/>
            </w:pPr>
            <m:oMathPara>
              <m:oMath>
                <m:d>
                  <m:dPr>
                    <m:begChr m:val=""/>
                    <m:endChr m:val=""/>
                    <m:ctrlPr>
                      <w:rPr>
                        <w:rFonts w:ascii="Cambria Math" w:hAnsi="Cambria Math"/>
                        <w:sz w:val="17"/>
                        <w:szCs w:val="17"/>
                      </w:rPr>
                    </m:ctrlPr>
                  </m:dPr>
                  <m:e>
                    <m:eqArr>
                      <m:eqArrPr>
                        <m:ctrlPr>
                          <w:rPr>
                            <w:rFonts w:ascii="Cambria Math" w:hAnsi="Cambria Math"/>
                            <w:sz w:val="17"/>
                            <w:szCs w:val="17"/>
                          </w:rPr>
                        </m:ctrlPr>
                      </m:eqArrPr>
                      <m:e>
                        <m:r>
                          <m:rPr/>
                          <w:rPr>
                            <w:rFonts w:ascii="Cambria Math" w:hAnsi="Cambria Math"/>
                            <w:sz w:val="17"/>
                            <w:szCs w:val="17"/>
                          </w:rPr>
                          <m:t>H</m:t>
                        </m:r>
                        <m:d>
                          <m:dPr>
                            <m:ctrlPr>
                              <w:rPr>
                                <w:rFonts w:ascii="Cambria Math" w:hAnsi="Cambria Math"/>
                                <w:sz w:val="17"/>
                                <w:szCs w:val="17"/>
                              </w:rPr>
                            </m:ctrlPr>
                          </m:dPr>
                          <m:e>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r>
                          <m:rPr>
                            <m:nor/>
                            <m:sty m:val="p"/>
                          </m:rPr>
                          <w:rPr>
                            <w:rFonts w:ascii="Cambria Math" w:hAnsi="Cambria Math"/>
                            <w:b w:val="0"/>
                            <w:i w:val="0"/>
                            <w:sz w:val="17"/>
                            <w:szCs w:val="17"/>
                          </w:rPr>
                          <m:t> =−</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r>
                          <m:rPr>
                            <m:nor/>
                            <m:sty m:val="p"/>
                          </m:rPr>
                          <w:rPr>
                            <w:rFonts w:ascii="Cambria Math" w:hAnsi="Cambria Math"/>
                            <w:b w:val="0"/>
                            <w:i w:val="0"/>
                            <w:sz w:val="17"/>
                            <w:szCs w:val="17"/>
                          </w:rPr>
                          <m:t> </m:t>
                        </m:r>
                        <m:sSub>
                          <m:sSubPr>
                            <m:ctrlPr>
                              <w:rPr>
                                <w:rFonts w:ascii="Cambria Math" w:hAnsi="Cambria Math"/>
                                <w:sz w:val="17"/>
                                <w:szCs w:val="17"/>
                              </w:rPr>
                            </m:ctrlPr>
                          </m:sSubPr>
                          <m:e>
                            <m:r>
                              <m:rPr>
                                <m:nor/>
                                <m:sty m:val="p"/>
                              </m:rPr>
                              <w:rPr>
                                <w:rFonts w:ascii="Cambria Math" w:hAnsi="Cambria Math"/>
                                <w:b w:val="0"/>
                                <w:i w:val="0"/>
                                <w:sz w:val="17"/>
                                <w:szCs w:val="17"/>
                              </w:rPr>
                              <m:t>log</m:t>
                            </m:r>
                            <m:ctrlPr>
                              <w:rPr>
                                <w:rFonts w:ascii="Cambria Math" w:hAnsi="Cambria Math"/>
                                <w:sz w:val="17"/>
                                <w:szCs w:val="17"/>
                              </w:rPr>
                            </m:ctrlPr>
                          </m:e>
                          <m:sub>
                            <m:r>
                              <m:rPr>
                                <m:nor/>
                                <m:sty m:val="p"/>
                              </m:rPr>
                              <w:rPr>
                                <w:rFonts w:ascii="Cambria Math" w:hAnsi="Cambria Math"/>
                                <w:b w:val="0"/>
                                <w:i w:val="0"/>
                                <w:sz w:val="17"/>
                                <w:szCs w:val="17"/>
                              </w:rPr>
                              <m:t>2</m:t>
                            </m:r>
                            <m:ctrlPr>
                              <w:rPr>
                                <w:rFonts w:ascii="Cambria Math" w:hAnsi="Cambria Math"/>
                                <w:sz w:val="17"/>
                                <w:szCs w:val="17"/>
                              </w:rPr>
                            </m:ctrlPr>
                          </m:sub>
                        </m:sSub>
                        <m:r>
                          <m:rPr>
                            <m:nor/>
                            <m:sty m:val="p"/>
                          </m:rPr>
                          <w:rPr>
                            <w:rFonts w:ascii="Cambria Math" w:hAnsi="Cambria Math"/>
                            <w:b w:val="0"/>
                            <w:i w:val="0"/>
                            <w:sz w:val="17"/>
                            <w:szCs w:val="17"/>
                          </w:rPr>
                          <m:t> </m:t>
                        </m:r>
                        <m:d>
                          <m:dPr>
                            <m:ctrlPr>
                              <w:rPr>
                                <w:rFonts w:ascii="Cambria Math" w:hAnsi="Cambria Math"/>
                                <w:sz w:val="17"/>
                                <w:szCs w:val="17"/>
                              </w:rPr>
                            </m:ctrlPr>
                          </m:dPr>
                          <m:e>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r>
                          <m:rPr>
                            <m:nor/>
                            <m:sty m:val="p"/>
                          </m:rPr>
                          <w:rPr>
                            <w:rFonts w:ascii="Cambria Math" w:hAnsi="Cambria Math"/>
                            <w:b w:val="0"/>
                            <w:i w:val="0"/>
                            <w:sz w:val="17"/>
                            <w:szCs w:val="17"/>
                          </w:rPr>
                          <m:t> − </m:t>
                        </m:r>
                        <m:d>
                          <m:dPr>
                            <m:ctrlPr>
                              <w:rPr>
                                <w:rFonts w:ascii="Cambria Math" w:hAnsi="Cambria Math"/>
                                <w:sz w:val="17"/>
                                <w:szCs w:val="17"/>
                              </w:rPr>
                            </m:ctrlPr>
                          </m:dPr>
                          <m:e>
                            <m:r>
                              <m:rPr>
                                <m:nor/>
                                <m:sty m:val="p"/>
                              </m:rPr>
                              <w:rPr>
                                <w:rFonts w:ascii="Cambria Math" w:hAnsi="Cambria Math"/>
                                <w:b w:val="0"/>
                                <w:i w:val="0"/>
                                <w:sz w:val="17"/>
                                <w:szCs w:val="17"/>
                              </w:rPr>
                              <m:t>1−</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r>
                          <m:rPr>
                            <m:nor/>
                            <m:sty m:val="p"/>
                          </m:rPr>
                          <w:rPr>
                            <w:rFonts w:ascii="Cambria Math" w:hAnsi="Cambria Math"/>
                            <w:b w:val="0"/>
                            <w:i w:val="0"/>
                            <w:sz w:val="17"/>
                            <w:szCs w:val="17"/>
                          </w:rPr>
                          <m:t> </m:t>
                        </m:r>
                        <m:sSub>
                          <m:sSubPr>
                            <m:ctrlPr>
                              <w:rPr>
                                <w:rFonts w:ascii="Cambria Math" w:hAnsi="Cambria Math"/>
                                <w:sz w:val="17"/>
                                <w:szCs w:val="17"/>
                              </w:rPr>
                            </m:ctrlPr>
                          </m:sSubPr>
                          <m:e>
                            <m:r>
                              <m:rPr>
                                <m:nor/>
                                <m:sty m:val="p"/>
                              </m:rPr>
                              <w:rPr>
                                <w:rFonts w:ascii="Cambria Math" w:hAnsi="Cambria Math"/>
                                <w:b w:val="0"/>
                                <w:i w:val="0"/>
                                <w:sz w:val="17"/>
                                <w:szCs w:val="17"/>
                              </w:rPr>
                              <m:t>log</m:t>
                            </m:r>
                            <m:ctrlPr>
                              <w:rPr>
                                <w:rFonts w:ascii="Cambria Math" w:hAnsi="Cambria Math"/>
                                <w:sz w:val="17"/>
                                <w:szCs w:val="17"/>
                              </w:rPr>
                            </m:ctrlPr>
                          </m:e>
                          <m:sub>
                            <m:r>
                              <m:rPr>
                                <m:nor/>
                                <m:sty m:val="p"/>
                              </m:rPr>
                              <w:rPr>
                                <w:rFonts w:ascii="Cambria Math" w:hAnsi="Cambria Math"/>
                                <w:b w:val="0"/>
                                <w:i w:val="0"/>
                                <w:sz w:val="17"/>
                                <w:szCs w:val="17"/>
                              </w:rPr>
                              <m:t>2</m:t>
                            </m:r>
                            <m:ctrlPr>
                              <w:rPr>
                                <w:rFonts w:ascii="Cambria Math" w:hAnsi="Cambria Math"/>
                                <w:sz w:val="17"/>
                                <w:szCs w:val="17"/>
                              </w:rPr>
                            </m:ctrlPr>
                          </m:sub>
                        </m:sSub>
                        <m:r>
                          <m:rPr>
                            <m:nor/>
                            <m:sty m:val="p"/>
                          </m:rPr>
                          <w:rPr>
                            <w:rFonts w:ascii="Cambria Math" w:hAnsi="Cambria Math"/>
                            <w:b w:val="0"/>
                            <w:i w:val="0"/>
                            <w:sz w:val="17"/>
                            <w:szCs w:val="17"/>
                          </w:rPr>
                          <m:t> </m:t>
                        </m:r>
                        <m:d>
                          <m:dPr>
                            <m:ctrlPr>
                              <w:rPr>
                                <w:rFonts w:ascii="Cambria Math" w:hAnsi="Cambria Math"/>
                                <w:sz w:val="17"/>
                                <w:szCs w:val="17"/>
                              </w:rPr>
                            </m:ctrlPr>
                          </m:dPr>
                          <m:e>
                            <m:r>
                              <m:rPr>
                                <m:nor/>
                                <m:sty m:val="p"/>
                              </m:rPr>
                              <w:rPr>
                                <w:rFonts w:ascii="Cambria Math" w:hAnsi="Cambria Math"/>
                                <w:b w:val="0"/>
                                <w:i w:val="0"/>
                                <w:sz w:val="17"/>
                                <w:szCs w:val="17"/>
                              </w:rPr>
                              <m:t>1−</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ctrlPr>
                          <w:rPr>
                            <w:rFonts w:ascii="Cambria Math" w:hAnsi="Cambria Math"/>
                            <w:sz w:val="17"/>
                            <w:szCs w:val="17"/>
                          </w:rPr>
                        </m:ctrlPr>
                      </m:e>
                      <m:e>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r>
                          <m:rPr>
                            <m:nor/>
                            <m:sty m:val="p"/>
                          </m:rPr>
                          <w:rPr>
                            <w:rFonts w:ascii="Cambria Math" w:hAnsi="Cambria Math"/>
                            <w:b w:val="0"/>
                            <w:i w:val="0"/>
                            <w:sz w:val="17"/>
                            <w:szCs w:val="17"/>
                          </w:rPr>
                          <m:t>∈(0,1)</m:t>
                        </m:r>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79E1748C">
            <w:pPr>
              <w:keepLines/>
              <w:tabs>
                <w:tab w:val="center" w:pos="4535"/>
                <w:tab w:val="right" w:pos="9070"/>
              </w:tabs>
              <w:jc w:val="right"/>
            </w:pPr>
            <w:r>
              <w:t>(9)</w:t>
            </w:r>
          </w:p>
        </w:tc>
      </w:tr>
    </w:tbl>
    <w:p w14:paraId="00234255">
      <w:pPr>
        <w:widowControl w:val="0"/>
        <w:spacing w:line="252" w:lineRule="auto"/>
        <w:ind w:firstLine="202"/>
        <w:jc w:val="both"/>
        <w:rPr>
          <w:color w:val="000000"/>
          <w:lang w:eastAsia="zh-CN"/>
        </w:rPr>
      </w:pPr>
      <w:r>
        <w:rPr>
          <w:rFonts w:ascii="Times New Roman" w:hAnsi="Times New Roman" w:eastAsia="Songti SC"/>
          <w:b w:val="0"/>
          <w:i w:val="0"/>
          <w:color w:val="000000"/>
          <w:sz w:val="20"/>
        </w:rPr>
        <w:t>The soft label is useful because it defines a continuous target with a non-zero gradient in a band around the boundary, where the hard label is flat and ambiguous.</w:t>
      </w:r>
    </w:p>
    <w:p w14:paraId="034A562E">
      <w:pPr>
        <w:widowControl w:val="0"/>
        <w:spacing w:line="252" w:lineRule="auto"/>
        <w:ind w:firstLine="202"/>
        <w:jc w:val="both"/>
        <w:rPr>
          <w:color w:val="000000"/>
          <w:lang w:eastAsia="zh-CN"/>
        </w:rPr>
      </w:pPr>
      <w:r>
        <w:rPr>
          <w:rFonts w:ascii="Times New Roman" w:hAnsi="Times New Roman" w:eastAsia="Songti SC"/>
          <w:b w:val="0"/>
          <w:i w:val="0"/>
          <w:color w:val="000000"/>
          <w:sz w:val="20"/>
        </w:rPr>
        <w:t>The second advantage is the smoothness of the objective: the gradient of a hard label is zero everywhere except at the label boundary, whereas the soft-label target varies continuously across the transition band, so the search receives a consistent improvement direction.</w:t>
      </w:r>
    </w:p>
    <w:p w14:paraId="0D5205F8">
      <w:pPr>
        <w:pStyle w:val="3"/>
        <w:numPr>
          <w:ilvl w:val="0"/>
          <w:numId w:val="0"/>
        </w:numPr>
      </w:pPr>
      <w:r>
        <w:rPr>
          <w:rFonts w:ascii="Times New Roman" w:hAnsi="Times New Roman" w:eastAsia="Songti SC"/>
          <w:sz w:val="20"/>
        </w:rPr>
        <w:t>B. Explicit Scattering Characterization via Symbolic Regression</w:t>
      </w:r>
    </w:p>
    <w:p w14:paraId="3DB07AE7">
      <w:pPr>
        <w:widowControl w:val="0"/>
        <w:spacing w:line="252" w:lineRule="auto"/>
        <w:ind w:firstLine="202"/>
        <w:jc w:val="both"/>
        <w:rPr>
          <w:color w:val="000000"/>
          <w:lang w:eastAsia="zh-CN"/>
        </w:rPr>
      </w:pPr>
      <w:r>
        <w:rPr>
          <w:rFonts w:ascii="Times New Roman" w:hAnsi="Times New Roman" w:eastAsia="Songti SC"/>
          <w:sz w:val="20"/>
        </w:rPr>
        <w:t>Symbolic regression searches directly for an explicit expression that fits the data [34], [35], instead of fitting the many weights of a fixed model: the unknowns are the expression itself, built from a few variables and operators, so the result is a closed-form formula that can be read, checked against physical reasoning, transferred between platforms and evaluated in a few arithmetic operations. Its toolchains are mature [36], [37], [38], [39], and in remote sensing they support parameter retrieval and imagery-based discovery [40], [41] and multimodal regression [42]; the functional form of a polarimetric descriptor, by contrast, is still chosen by hand. Neural-symbolic distillation [43], [44] shows that the implicit knowledge of a trained network can be restored into explicit laws by evolutionary search [45], [46], [47].</w:t>
      </w:r>
    </w:p>
    <w:p>
      <w:pPr>
        <w:widowControl w:val="0"/>
        <w:spacing w:line="252" w:lineRule="auto"/>
        <w:ind w:firstLine="202"/>
        <w:jc w:val="both"/>
        <w:rPr>
          <w:color w:val="000000"/>
          <w:lang w:eastAsia="zh-CN"/>
        </w:rPr>
      </w:pPr>
      <w:r>
        <w:rPr>
          <w:rFonts w:ascii="Times New Roman" w:hAnsi="Times New Roman" w:eastAsia="Songti SC"/>
          <w:sz w:val="20"/>
        </w:rPr>
        <w:t>An explicit representation of a ship has to do two things at once: it must highlight the ship against the sea and suppress clutter, and it must stay simple enough to be read and reused. A handcrafted polarimetric feature satisfies the second requirement, but its functional form comes from expert experience rather than from the data and the task, whereas a learned representation satisfies the first but hides its rule in network weights. This section treats the descriptor itself as the unknown of an optimization problem instead of a hand-set formula.</w:t>
      </w:r>
    </w:p>
    <w:p w14:paraId="391B866E">
      <w:p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2245586"/>
                  <wp:docPr id="4" name="Picture 4"/>
                  <wp:cNvGraphicFramePr>
                    <a:graphicFrameLocks noChangeAspect="1"/>
                  </wp:cNvGraphicFramePr>
                  <a:graphic>
                    <a:graphicData uri="http://schemas.openxmlformats.org/drawingml/2006/picture">
                      <pic:pic>
                        <pic:nvPicPr>
                          <pic:cNvPr id="0" name="fig05.png"/>
                          <pic:cNvPicPr/>
                        </pic:nvPicPr>
                        <pic:blipFill>
                          <a:blip r:embed="rId139"/>
                          <a:stretch>
                            <a:fillRect/>
                          </a:stretch>
                        </pic:blipFill>
                        <pic:spPr>
                          <a:xfrm>
                            <a:off x="0" y="0"/>
                            <a:ext cx="2971800" cy="2245586"/>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5. Principle of the student symbolic regression: evolutionary search, the accuracy-complexity Pareto front, and the discovered expression tree.</w:t>
            </w:r>
          </w:p>
        </w:tc>
      </w:tr>
    </w:tbl>
    <w:p w14:paraId="164532A3">
      <w:pPr>
        <w:widowControl w:val="0"/>
        <w:spacing w:line="252" w:lineRule="auto"/>
        <w:ind w:firstLine="202"/>
        <w:jc w:val="both"/>
        <w:rPr>
          <w:color w:val="000000"/>
          <w:lang w:eastAsia="zh-CN"/>
        </w:rPr>
      </w:pPr>
      <w:r>
        <w:rPr>
          <w:rFonts w:ascii="Times New Roman" w:hAnsi="Times New Roman" w:eastAsia="Songti SC"/>
          <w:i w:val="0"/>
          <w:sz w:val="20"/>
        </w:rPr>
        <w:t>The central formulation of the section is the bi-objective problem over the space F spanned by the operator set O and the variable set X: find an expression that minimizes the fitting error and the structural complexity simultaneously, which turns descriptor design from an expert choice into a well-posed search (Fig. 5). Expressions are generated from the variables and constants by composition of the operators in O, and each corresponds to a binary tree whose node count is its complexity. The operator set and the variable set are: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3AFC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5E806F0F">
            <w:pPr>
              <w:keepLines/>
              <w:tabs>
                <w:tab w:val="center" w:pos="4535"/>
                <w:tab w:val="right" w:pos="9070"/>
              </w:tabs>
              <w:jc w:val="center"/>
            </w:pPr>
            <m:oMathPara>
              <m:oMath>
                <m:d>
                  <m:dPr>
                    <m:begChr m:val=""/>
                    <m:endChr m:val=""/>
                    <m:ctrlPr>
                      <w:rPr>
                        <w:rFonts w:ascii="Cambria Math" w:hAnsi="Cambria Math"/>
                        <w:sz w:val="17"/>
                        <w:szCs w:val="17"/>
                      </w:rPr>
                    </m:ctrlPr>
                  </m:dPr>
                  <m:e>
                    <m:eqArr>
                      <m:eqArrPr>
                        <m:ctrlPr>
                          <w:rPr>
                            <w:rFonts w:ascii="Cambria Math" w:hAnsi="Cambria Math"/>
                            <w:sz w:val="17"/>
                            <w:szCs w:val="17"/>
                          </w:rPr>
                        </m:ctrlPr>
                      </m:eqArrPr>
                      <m:e>
                        <m:r>
                          <m:rPr/>
                          <w:rPr>
                            <w:rFonts w:ascii="Cambria Math" w:hAnsi="Cambria Math"/>
                            <w:sz w:val="17"/>
                            <w:szCs w:val="17"/>
                          </w:rPr>
                          <m:t>O</m:t>
                        </m:r>
                        <m:r>
                          <m:rPr>
                            <m:nor/>
                            <m:sty m:val="p"/>
                          </m:rPr>
                          <w:rPr>
                            <w:rFonts w:ascii="Cambria Math" w:hAnsi="Cambria Math"/>
                            <w:b w:val="0"/>
                            <w:i w:val="0"/>
                            <w:sz w:val="17"/>
                            <w:szCs w:val="17"/>
                          </w:rPr>
                          <m:t>={+, −, ×, ÷, exp, sqrt, square, sin, cos}</m:t>
                        </m:r>
                        <m:ctrlPr>
                          <w:rPr>
                            <w:rFonts w:ascii="Cambria Math" w:hAnsi="Cambria Math"/>
                            <w:sz w:val="17"/>
                            <w:szCs w:val="17"/>
                          </w:rPr>
                        </m:ctrlPr>
                      </m:e>
                      <m:e>
                        <m:r>
                          <m:rPr/>
                          <w:rPr>
                            <w:rFonts w:ascii="Cambria Math" w:hAnsi="Cambria Math"/>
                            <w:sz w:val="17"/>
                            <w:szCs w:val="17"/>
                          </w:rPr>
                          <m:t>X</m:t>
                        </m:r>
                        <m:r>
                          <m:rPr>
                            <m:nor/>
                            <m:sty m:val="p"/>
                          </m:rPr>
                          <w:rPr>
                            <w:rFonts w:ascii="Cambria Math" w:hAnsi="Cambria Math"/>
                            <w:b w:val="0"/>
                            <w:i w:val="0"/>
                            <w:sz w:val="17"/>
                            <w:szCs w:val="17"/>
                          </w:rPr>
                          <m:t> = </m:t>
                        </m:r>
                        <m:d>
                          <m:dPr>
                            <m:begChr m:val="{"/>
                            <m:endChr m:val="}"/>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r>
                              <m:rPr>
                                <m:nor/>
                                <m:sty m:val="p"/>
                              </m:rPr>
                              <w:rPr>
                                <w:rFonts w:ascii="Cambria Math" w:hAnsi="Cambria Math"/>
                                <w:b w:val="0"/>
                                <w:i w:val="0"/>
                                <w:sz w:val="17"/>
                                <w:szCs w:val="17"/>
                              </w:rPr>
                              <m:t xml:space="preserve">,  </m:t>
                            </m:r>
                            <m:r>
                              <m:rPr/>
                              <w:rPr>
                                <w:rFonts w:ascii="Cambria Math" w:hAnsi="Cambria Math"/>
                                <w:sz w:val="17"/>
                                <w:szCs w:val="17"/>
                              </w:rPr>
                              <m:t>c</m:t>
                            </m:r>
                            <m:ctrlPr>
                              <w:rPr>
                                <w:rFonts w:ascii="Cambria Math" w:hAnsi="Cambria Math"/>
                                <w:sz w:val="17"/>
                                <w:szCs w:val="17"/>
                              </w:rPr>
                            </m:ctrlPr>
                          </m:e>
                        </m:d>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0A077EB1">
            <w:pPr>
              <w:keepLines/>
              <w:tabs>
                <w:tab w:val="center" w:pos="4535"/>
                <w:tab w:val="right" w:pos="9070"/>
              </w:tabs>
              <w:jc w:val="right"/>
            </w:pPr>
            <w:r>
              <w:t>(10)</w:t>
            </w:r>
          </w:p>
        </w:tc>
      </w:tr>
    </w:tbl>
    <w:p w14:paraId="6B0DED9E">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operators follow scattering physics: ship membership varies smoothly with scattering power, so an exponential operator is included; the square and square-root operators convert between power and amplitude; the arithmetic operations provide the basic combinations; and the trigonometric functions only make local corrections at high complexity. The logarithm is prone to numerical trouble in the low-power sea region, so its nesting is restricted.</w:t>
      </w:r>
    </w:p>
    <w:p w14:paraId="28507EBC">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first objective of symbolic regression is the fitting accuracy, measured by the mean squared error (MSE) between the expression output and the teacher soft label:</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2870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60" w:after="60"/>
              <w:jc w:val="center"/>
            </w:pPr>
            <w:r/>
            <w:r>
              <w:rPr>
                <w:rFonts w:ascii="Times New Roman" w:hAnsi="Times New Roman" w:eastAsia="Songti SC"/>
                <w:b w:val="0"/>
                <w:i w:val="0"/>
                <w:color w:val="000000"/>
                <w:sz w:val="18"/>
              </w:rPr>
              <w:t>mi</w:t>
            </w:r>
            <w:r>
              <w:rPr>
                <w:rFonts w:ascii="Times New Roman" w:hAnsi="Times New Roman" w:eastAsia="Songti SC"/>
                <w:b w:val="0"/>
                <w:i/>
                <w:color w:val="000000"/>
                <w:sz w:val="18"/>
              </w:rPr>
              <w:t>n</w:t>
            </w:r>
            <w:r>
              <w:rPr>
                <w:rFonts w:ascii="Times New Roman" w:hAnsi="Times New Roman" w:eastAsia="Songti SC"/>
                <w:b w:val="0"/>
                <w:i/>
                <w:color w:val="000000"/>
                <w:sz w:val="13"/>
                <w:vertAlign w:val="subscript"/>
              </w:rPr>
              <w:t>f∈F</w:t>
            </w:r>
            <w:r>
              <w:rPr>
                <w:rFonts w:ascii="Times New Roman" w:hAnsi="Times New Roman" w:eastAsia="Songti SC"/>
                <w:b w:val="0"/>
                <w:i w:val="0"/>
                <w:color w:val="000000"/>
                <w:sz w:val="18"/>
              </w:rPr>
              <w:t xml:space="preserve"> (MSE(f), C(f))</w:t>
            </w:r>
          </w:p>
        </w:tc>
        <w:tc>
          <w:tcPr>
            <w:tcW w:w="400" w:type="dxa"/>
            <w:tcMar>
              <w:top w:w="0" w:type="dxa"/>
              <w:left w:w="0" w:type="dxa"/>
              <w:bottom w:w="0" w:type="dxa"/>
              <w:right w:w="0" w:type="dxa"/>
            </w:tcMar>
          </w:tcPr>
          <w:p w14:paraId="4C54A0AC">
            <w:pPr>
              <w:keepLines/>
              <w:tabs>
                <w:tab w:val="center" w:pos="4535"/>
                <w:tab w:val="right" w:pos="9070"/>
              </w:tabs>
              <w:jc w:val="right"/>
            </w:pPr>
            <w:r>
              <w:t>(11)</w:t>
            </w:r>
          </w:p>
        </w:tc>
      </w:tr>
    </w:tbl>
    <w:p w14:paraId="636680C4">
      <w:pPr>
        <w:widowControl w:val="0"/>
        <w:spacing w:line="252" w:lineRule="auto"/>
        <w:ind w:firstLine="202"/>
        <w:jc w:val="both"/>
        <w:rPr>
          <w:color w:val="000000"/>
          <w:lang w:eastAsia="zh-CN"/>
        </w:rPr>
      </w:pPr>
      <w:r>
        <w:rPr>
          <w:rFonts w:ascii="Times New Roman" w:hAnsi="Times New Roman" w:eastAsia="Songti SC"/>
          <w:color w:val="000000"/>
          <w:sz w:val="20"/>
          <w:lang w:eastAsia="zh-CN"/>
        </w:rPr>
        <w:t>A smaller MSE means a higher fitting accuracy. The second objective is the complexity C(f), defined as the total number of nodes of the binary tree: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31A9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5DD5327D">
            <w:pPr>
              <w:keepLines/>
              <w:tabs>
                <w:tab w:val="center" w:pos="4535"/>
                <w:tab w:val="right" w:pos="9070"/>
              </w:tabs>
              <w:jc w:val="center"/>
            </w:pPr>
            <m:oMathPara>
              <m:oMath>
                <m:r>
                  <m:rPr/>
                  <w:rPr>
                    <w:rFonts w:ascii="Cambria Math" w:hAnsi="Cambria Math"/>
                    <w:sz w:val="17"/>
                    <w:szCs w:val="17"/>
                  </w:rPr>
                  <m:t>C</m:t>
                </m:r>
                <m:d>
                  <m:dPr>
                    <m:ctrlPr>
                      <w:rPr>
                        <w:rFonts w:ascii="Cambria Math" w:hAnsi="Cambria Math"/>
                        <w:sz w:val="17"/>
                        <w:szCs w:val="17"/>
                      </w:rPr>
                    </m:ctrlPr>
                  </m:dPr>
                  <m:e>
                    <m:r>
                      <m:rPr/>
                      <w:rPr>
                        <w:rFonts w:ascii="Cambria Math" w:hAnsi="Cambria Math"/>
                        <w:sz w:val="17"/>
                        <w:szCs w:val="17"/>
                      </w:rPr>
                      <m:t>f</m:t>
                    </m:r>
                    <m:ctrlPr>
                      <w:rPr>
                        <w:rFonts w:ascii="Cambria Math" w:hAnsi="Cambria Math"/>
                        <w:sz w:val="17"/>
                        <w:szCs w:val="17"/>
                      </w:rPr>
                    </m:ctrlPr>
                  </m:e>
                </m:d>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N</m:t>
                    </m:r>
                    <m:ctrlPr>
                      <w:rPr>
                        <w:rFonts w:ascii="Cambria Math" w:hAnsi="Cambria Math"/>
                        <w:sz w:val="17"/>
                        <w:szCs w:val="17"/>
                      </w:rPr>
                    </m:ctrlPr>
                  </m:e>
                  <m:sub>
                    <m:r>
                      <m:rPr>
                        <m:nor/>
                        <m:sty m:val="p"/>
                      </m:rPr>
                      <w:rPr>
                        <w:rFonts w:ascii="Cambria Math" w:hAnsi="Cambria Math"/>
                        <w:b w:val="0"/>
                        <w:i w:val="0"/>
                        <w:sz w:val="17"/>
                        <w:szCs w:val="17"/>
                      </w:rPr>
                      <m:t>operator</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N</m:t>
                    </m:r>
                    <m:ctrlPr>
                      <w:rPr>
                        <w:rFonts w:ascii="Cambria Math" w:hAnsi="Cambria Math"/>
                        <w:sz w:val="17"/>
                        <w:szCs w:val="17"/>
                      </w:rPr>
                    </m:ctrlPr>
                  </m:e>
                  <m:sub>
                    <m:r>
                      <m:rPr>
                        <m:nor/>
                        <m:sty m:val="p"/>
                      </m:rPr>
                      <w:rPr>
                        <w:rFonts w:ascii="Cambria Math" w:hAnsi="Cambria Math"/>
                        <w:b w:val="0"/>
                        <w:i w:val="0"/>
                        <w:sz w:val="17"/>
                        <w:szCs w:val="17"/>
                      </w:rPr>
                      <m:t>leaf</m:t>
                    </m:r>
                    <m:ctrlPr>
                      <w:rPr>
                        <w:rFonts w:ascii="Cambria Math" w:hAnsi="Cambria Math"/>
                        <w:sz w:val="17"/>
                        <w:szCs w:val="17"/>
                      </w:rPr>
                    </m:ctrlPr>
                  </m:sub>
                </m:sSub>
              </m:oMath>
            </m:oMathPara>
          </w:p>
        </w:tc>
        <w:tc>
          <w:tcPr>
            <w:tcW w:w="400" w:type="dxa"/>
            <w:tcMar>
              <w:top w:w="0" w:type="dxa"/>
              <w:left w:w="0" w:type="dxa"/>
              <w:bottom w:w="0" w:type="dxa"/>
              <w:right w:w="0" w:type="dxa"/>
            </w:tcMar>
          </w:tcPr>
          <w:p w14:paraId="07D80A0C">
            <w:pPr>
              <w:keepLines/>
              <w:tabs>
                <w:tab w:val="center" w:pos="4535"/>
                <w:tab w:val="right" w:pos="9070"/>
              </w:tabs>
              <w:jc w:val="right"/>
            </w:pPr>
            <w:r>
              <w:t>(12)</w:t>
            </w:r>
          </w:p>
        </w:tc>
      </w:tr>
    </w:tbl>
    <w:p w14:paraId="412DD9E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rFonts w:ascii="Cambria Math" w:hAnsi="Cambria Math"/>
                <w:b w:val="0"/>
                <w:i w:val="0"/>
              </w:rPr>
              <m:t>operator</m:t>
            </m:r>
            <m:ctrlPr>
              <w:rPr>
                <w:rFonts w:ascii="Cambria Math" w:hAnsi="Cambria Math"/>
              </w:rPr>
            </m:ctrlPr>
          </m:sub>
        </m:sSub>
      </m:oMath>
      <w:r>
        <w:rPr>
          <w:rFonts w:ascii="Times New Roman" w:hAnsi="Times New Roman" w:eastAsia="Songti SC"/>
          <w:color w:val="000000"/>
          <w:sz w:val="20"/>
          <w:lang w:eastAsia="zh-CN"/>
        </w:rPr>
        <w:t xml:space="preserve"> is the number of operator nodes and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rFonts w:ascii="Cambria Math" w:hAnsi="Cambria Math"/>
                <w:b w:val="0"/>
                <w:i w:val="0"/>
              </w:rPr>
              <m:t>leaf</m:t>
            </m:r>
            <m:ctrlPr>
              <w:rPr>
                <w:rFonts w:ascii="Cambria Math" w:hAnsi="Cambria Math"/>
              </w:rPr>
            </m:ctrlPr>
          </m:sub>
        </m:sSub>
      </m:oMath>
      <w:r>
        <w:rPr>
          <w:rFonts w:ascii="Times New Roman" w:hAnsi="Times New Roman" w:eastAsia="Songti SC"/>
          <w:color w:val="000000"/>
          <w:sz w:val="20"/>
          <w:lang w:eastAsia="zh-CN"/>
        </w:rPr>
        <w:t xml:space="preserve"> is the number of leaf nodes; fewer nodes mean a more concise expression, faster computation and lower deployment overhead. The final bi-objective problem is formalized as: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04334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40" w:after="40"/>
              <w:jc w:val="center"/>
            </w:pPr>
            <w:r>
              <w:rPr>
                <w:rFonts w:ascii="Times New Roman" w:hAnsi="Times New Roman" w:eastAsia="Songti SC"/>
                <w:i/>
                <w:sz w:val="17"/>
              </w:rPr>
              <w:t>f* is a Pareto-optimal solution of Eq. (11)</w:t>
            </w:r>
          </w:p>
        </w:tc>
        <w:tc>
          <w:tcPr>
            <w:tcW w:w="400" w:type="dxa"/>
            <w:tcMar>
              <w:top w:w="0" w:type="dxa"/>
              <w:left w:w="0" w:type="dxa"/>
              <w:bottom w:w="0" w:type="dxa"/>
              <w:right w:w="0" w:type="dxa"/>
            </w:tcMar>
          </w:tcPr>
          <w:p w14:paraId="69AD3FA1">
            <w:pPr>
              <w:keepLines/>
              <w:tabs>
                <w:tab w:val="center" w:pos="4535"/>
                <w:tab w:val="right" w:pos="9070"/>
              </w:tabs>
              <w:jc w:val="right"/>
            </w:pPr>
            <w:r>
              <w:t>(13)</w:t>
            </w:r>
          </w:p>
        </w:tc>
      </w:tr>
    </w:tbl>
    <w:p w14:paraId="064E3B2C">
      <w:pPr>
        <w:widowControl w:val="0"/>
        <w:spacing w:line="252" w:lineRule="auto"/>
        <w:ind w:firstLine="202"/>
        <w:jc w:val="both"/>
        <w:rPr>
          <w:color w:val="000000"/>
          <w:lang w:eastAsia="zh-CN"/>
        </w:rPr>
      </w:pPr>
      <w:r>
        <w:rPr>
          <w:rFonts w:ascii="Times New Roman" w:hAnsi="Times New Roman" w:eastAsia="Songti SC"/>
          <w:b w:val="0"/>
          <w:i w:val="0"/>
          <w:color w:val="000000"/>
          <w:sz w:val="20"/>
        </w:rPr>
        <w:t>The two objectives compete: a higher accuracy usually requires a longer expression, whereas a concise one cannot follow the soft-label surface fully. No unique optimum exists; instead, a set of mutually non-dominated compromises forms the Pareto front [48]. Eq. (11) is interpreted in this Pareto sense not as a scalar argmin. Short expressions suit edge devices of limited computing power, long ones ground processing that pursues accuracy.</w:t>
      </w:r>
    </w:p>
    <w:p w14:paraId="0F56E005">
      <w:pPr>
        <w:widowControl w:val="0"/>
        <w:spacing w:line="252" w:lineRule="auto"/>
        <w:ind w:firstLine="202"/>
        <w:jc w:val="both"/>
        <w:rPr>
          <w:color w:val="000000"/>
          <w:lang w:eastAsia="zh-CN"/>
        </w:rPr>
      </w:pPr>
      <w:r>
        <w:rPr>
          <w:rFonts w:ascii="Times New Roman" w:hAnsi="Times New Roman" w:eastAsia="Songti SC"/>
          <w:b w:val="0"/>
          <w:sz w:val="20"/>
        </w:rPr>
        <w:t>The search is driven jointly by genetic programming [49] and NSGA-II selection [62]: NSGA-II selects individuals by dominance relations and crowding distance, and genetic programming generates new candidates by subtree crossover and node mutation. Two settings distinguish this work: the operator set follows scattering physics (Eq. (10)) and the fitting target is the soft label, not the hard label, which keeps the search inside a physically interpretable space and leaves a clear improvement direction near the boundary.</w:t>
      </w:r>
    </w:p>
    <w:p w14:paraId="0AB8C27D">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A refinement step follows: a one-dimensional local search on the real-valued constants of the elite individuals reduces the fitting error without changing the expression structure. It uses the Brent algorithm [50], which combines golden-section search with inverse parabolic interpolation and takes a convergence tolerance of </w:t>
      </w:r>
      <m:oMath>
        <m:r>
          <m:rPr/>
          <w:rPr>
            <w:rFonts w:ascii="Cambria Math" w:hAnsi="Cambria Math"/>
          </w:rPr>
          <m:t>ε</m:t>
        </m:r>
        <m:r>
          <m:rPr>
            <m:nor/>
            <m:sty m:val="p"/>
          </m:rPr>
          <w:rPr>
            <w:rFonts w:ascii="Cambria Math" w:hAnsi="Cambria Math"/>
            <w:b w:val="0"/>
            <w:i w:val="0"/>
          </w:rPr>
          <m:t xml:space="preserve"> = 1×</m:t>
        </m:r>
        <m:sSup>
          <m:sSupPr>
            <m:ctrlPr>
              <w:rPr>
                <w:rFonts w:ascii="Cambria Math" w:hAnsi="Cambria Math"/>
              </w:rPr>
            </m:ctrlPr>
          </m:sSupPr>
          <m:e>
            <m:r>
              <m:rPr>
                <m:nor/>
                <m:sty m:val="p"/>
              </m:rPr>
              <w:rPr>
                <w:rFonts w:ascii="Cambria Math" w:hAnsi="Cambria Math"/>
                <w:b w:val="0"/>
                <w:i w:val="0"/>
              </w:rPr>
              <m:t>10</m:t>
            </m:r>
            <m:ctrlPr>
              <w:rPr>
                <w:rFonts w:ascii="Cambria Math" w:hAnsi="Cambria Math"/>
              </w:rPr>
            </m:ctrlPr>
          </m:e>
          <m:sup>
            <m:r>
              <m:rPr>
                <m:nor/>
                <m:sty m:val="p"/>
              </m:rPr>
              <w:rPr>
                <w:rFonts w:ascii="Cambria Math" w:hAnsi="Cambria Math"/>
                <w:b w:val="0"/>
                <w:i w:val="0"/>
              </w:rPr>
              <m:t>−6</m:t>
            </m:r>
            <m:ctrlPr>
              <w:rPr>
                <w:rFonts w:ascii="Cambria Math" w:hAnsi="Cambria Math"/>
              </w:rPr>
            </m:ctrlPr>
          </m:sup>
        </m:sSup>
      </m:oMath>
      <w:r>
        <w:rPr>
          <w:rFonts w:ascii="Times New Roman" w:hAnsi="Times New Roman" w:eastAsia="Songti SC"/>
          <w:color w:val="000000"/>
          <w:sz w:val="20"/>
          <w:lang w:eastAsia="zh-CN"/>
        </w:rPr>
        <w:t>.</w:t>
      </w:r>
    </w:p>
    <w:p w14:paraId="6B38B705">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final descriptor is taken at the complexity inflection point of the front: beyond it, further nodes bring almost no accuracy gain, so the simplest expression at the inflection point best balances accuracy and interpretability.</w:t>
      </w:r>
    </w:p>
    <w:p w14:paraId="6FAAEC25">
      <w:pPr>
        <w:widowControl w:val="0"/>
        <w:spacing w:line="252" w:lineRule="auto"/>
        <w:ind w:firstLine="202"/>
        <w:jc w:val="both"/>
        <w:rPr>
          <w:color w:val="000000"/>
          <w:lang w:eastAsia="zh-CN"/>
        </w:rPr>
      </w:pPr>
      <w:r>
        <w:rPr>
          <w:rFonts w:ascii="Times New Roman" w:hAnsi="Times New Roman" w:eastAsia="Songti SC"/>
          <w:color w:val="000000"/>
          <w:sz w:val="20"/>
          <w:lang w:eastAsia="zh-CN"/>
        </w:rPr>
        <w:t>Its form is: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2E8B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522CF4F8">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r>
                  <m:rPr>
                    <m:nor/>
                    <m:sty m:val="p"/>
                  </m:rPr>
                  <w:rPr>
                    <w:rFonts w:ascii="Cambria Math" w:hAnsi="Cambria Math"/>
                    <w:b w:val="0"/>
                    <w:i w:val="0"/>
                    <w:sz w:val="17"/>
                    <w:szCs w:val="17"/>
                  </w:rPr>
                  <m:t> =exp</m:t>
                </m:r>
                <m:d>
                  <m:dPr>
                    <m:ctrlPr>
                      <w:rPr>
                        <w:rFonts w:ascii="Cambria Math" w:hAnsi="Cambria Math"/>
                        <w:sz w:val="17"/>
                        <w:szCs w:val="17"/>
                      </w:rPr>
                    </m:ctrlPr>
                  </m:dPr>
                  <m:e>
                    <m:r>
                      <m:rPr>
                        <m:nor/>
                        <m:sty m:val="p"/>
                      </m:rPr>
                      <w:rPr>
                        <w:rFonts w:ascii="Cambria Math" w:hAnsi="Cambria Math"/>
                        <w:b w:val="0"/>
                        <w:i w:val="0"/>
                        <w:sz w:val="17"/>
                        <w:szCs w:val="17"/>
                      </w:rPr>
                      <m:t> − </m:t>
                    </m:r>
                    <m:f>
                      <m:fPr>
                        <m:ctrlPr>
                          <w:rPr>
                            <w:rFonts w:ascii="Cambria Math" w:hAnsi="Cambria Math"/>
                            <w:sz w:val="17"/>
                            <w:szCs w:val="17"/>
                          </w:rPr>
                        </m:ctrlPr>
                      </m:fPr>
                      <m:num>
                        <m:r>
                          <m:rPr/>
                          <w:rPr>
                            <w:rFonts w:ascii="Cambria Math" w:hAnsi="Cambria Math"/>
                            <w:b w:val="0"/>
                            <w:i w:val="0"/>
                            <w:sz w:val="17"/>
                            <w:szCs w:val="17"/>
                          </w:rPr>
                          <m:t>c</m:t>
                        </m:r>
                        <m:ctrlPr>
                          <w:rPr>
                            <w:rFonts w:ascii="Cambria Math" w:hAnsi="Cambria Math"/>
                            <w:sz w:val="17"/>
                            <w:szCs w:val="17"/>
                          </w:rPr>
                        </m:ctrlPr>
                      </m:num>
                      <m:den>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den>
                    </m:f>
                    <m:ctrlPr>
                      <w:rPr>
                        <w:rFonts w:ascii="Cambria Math" w:hAnsi="Cambria Math"/>
                        <w:sz w:val="17"/>
                        <w:szCs w:val="17"/>
                      </w:rPr>
                    </m:ctrlPr>
                  </m:e>
                </m:d>
              </m:oMath>
            </m:oMathPara>
          </w:p>
        </w:tc>
        <w:tc>
          <w:tcPr>
            <w:tcW w:w="400" w:type="dxa"/>
            <w:tcMar>
              <w:top w:w="0" w:type="dxa"/>
              <w:left w:w="0" w:type="dxa"/>
              <w:bottom w:w="0" w:type="dxa"/>
              <w:right w:w="0" w:type="dxa"/>
            </w:tcMar>
          </w:tcPr>
          <w:p w14:paraId="550F1433">
            <w:pPr>
              <w:keepLines/>
              <w:tabs>
                <w:tab w:val="center" w:pos="4535"/>
                <w:tab w:val="right" w:pos="9070"/>
              </w:tabs>
              <w:jc w:val="right"/>
            </w:pPr>
            <w:r>
              <w:t>(14)</w:t>
            </w:r>
          </w:p>
        </w:tc>
      </w:tr>
    </w:tbl>
    <w:p w14:paraId="1152BAD2">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This descriptor is an explicit polarimetric feature of the same kind as SPAN and the reflection-symmetry descriptor [12] and can be used in their place; the difference is that its functional form comes from a data-driven search and needs no preset structure.</w:t>
      </w:r>
    </w:p>
    <w:p w14:paraId="0C95F5F9">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To put the descriptor on a physical footing, let </w:t>
      </w:r>
      <m:oMath>
        <m:r>
          <w:rPr>
            <w:rFonts w:ascii="Cambria Math" w:hAnsi="Cambria Math"/>
          </w:rPr>
          <m:t>S</m:t>
        </m:r>
        <m:r>
          <m:rPr>
            <m:nor m:val="1"/>
          </m:rPr>
          <w:rPr>
            <w:rFonts w:ascii="Cambria Math" w:hAnsi="Cambria Math"/>
          </w:rPr>
          <m:t xml:space="preserve"> = </m:t>
        </m:r>
        <m:sSub>
          <m:sSubPr>
            <m:ctrlPr>
              <w:rPr>
                <w:rFonts w:ascii="Cambria Math" w:hAnsi="Cambria Math"/>
              </w:rPr>
            </m:ctrlPr>
          </m:sSubPr>
          <m:e>
            <m:r>
              <w:rPr>
                <w:rFonts w:ascii="Cambria Math" w:hAnsi="Cambria Math"/>
              </w:rPr>
              <m:t>P</m:t>
            </m:r>
          </m:e>
          <m:sub>
            <m:r>
              <m:rPr>
                <m:nor m:val="1"/>
              </m:rPr>
              <w:rPr>
                <w:rFonts w:ascii="Cambria Math" w:hAnsi="Cambria Math"/>
              </w:rPr>
              <m:t>m</m:t>
            </m:r>
          </m:sub>
        </m:sSub>
        <m:r>
          <m:rPr>
            <m:nor m:val="1"/>
          </m:rPr>
          <w:rPr>
            <w:rFonts w:ascii="Cambria Math" w:hAnsi="Cambria Math"/>
          </w:rPr>
          <m:t xml:space="preserve"> + </m:t>
        </m:r>
        <m:sSub>
          <m:sSubPr>
            <m:ctrlPr>
              <w:rPr>
                <w:rFonts w:ascii="Cambria Math" w:hAnsi="Cambria Math"/>
              </w:rPr>
            </m:ctrlPr>
          </m:sSubPr>
          <m:e>
            <m:r>
              <w:rPr>
                <w:rFonts w:ascii="Cambria Math" w:hAnsi="Cambria Math"/>
              </w:rPr>
              <m:t>P</m:t>
            </m:r>
          </m:e>
          <m:sub>
            <m:r>
              <m:rPr>
                <m:nor m:val="1"/>
              </m:rPr>
              <w:rPr>
                <w:rFonts w:ascii="Cambria Math" w:hAnsi="Cambria Math"/>
              </w:rPr>
              <m:t>v</m:t>
            </m:r>
          </m:sub>
        </m:sSub>
      </m:oMath>
      <w:r>
        <w:rPr>
          <w:rFonts w:ascii="Times New Roman" w:hAnsi="Times New Roman" w:eastAsia="Songti SC"/>
          <w:color w:val="000000"/>
          <w:sz w:val="20"/>
          <w:lang w:eastAsia="zh-CN"/>
        </w:rPr>
        <w:t xml:space="preserve"> and expand Eq. (14) in the small quantity </w:t>
      </w:r>
      <m:oMath>
        <m:r>
          <w:rPr>
            <w:rFonts w:ascii="Cambria Math" w:hAnsi="Cambria Math"/>
          </w:rPr>
          <m:t>c</m:t>
        </m:r>
        <m:r>
          <m:rPr>
            <m:nor m:val="1"/>
          </m:rPr>
          <w:rPr>
            <w:rFonts w:ascii="Cambria Math" w:hAnsi="Cambria Math"/>
          </w:rPr>
          <m:t>/</m:t>
        </m:r>
        <m:r>
          <w:rPr>
            <w:rFonts w:ascii="Cambria Math" w:hAnsi="Cambria Math"/>
          </w:rPr>
          <m:t>S</m:t>
        </m:r>
      </m:oMath>
      <w:r>
        <w:rPr>
          <w:rFonts w:ascii="Times New Roman" w:hAnsi="Times New Roman" w:eastAsia="Songti SC"/>
          <w:color w:val="000000"/>
          <w:sz w:val="20"/>
          <w:lang w:eastAsia="zh-CN"/>
        </w:rPr>
        <w:t xml:space="preserv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3995B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18E91773">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r>
                  <m:rPr>
                    <m:nor/>
                    <m:sty m:val="p"/>
                  </m:rPr>
                  <w:rPr>
                    <w:rFonts w:ascii="Cambria Math" w:hAnsi="Cambria Math"/>
                    <w:b w:val="0"/>
                    <w:i w:val="0"/>
                    <w:sz w:val="17"/>
                    <w:szCs w:val="17"/>
                  </w:rPr>
                  <m:t xml:space="preserve"> =1 − </m:t>
                </m:r>
                <m:f>
                  <m:fPr>
                    <m:ctrlPr>
                      <w:rPr>
                        <w:rFonts w:ascii="Cambria Math" w:hAnsi="Cambria Math"/>
                        <w:sz w:val="17"/>
                        <w:szCs w:val="17"/>
                      </w:rPr>
                    </m:ctrlPr>
                  </m:fPr>
                  <m:num>
                    <m:r>
                      <m:rPr/>
                      <w:rPr>
                        <w:rFonts w:ascii="Cambria Math" w:hAnsi="Cambria Math"/>
                        <w:b w:val="0"/>
                        <w:i w:val="0"/>
                        <w:sz w:val="17"/>
                        <w:szCs w:val="17"/>
                      </w:rPr>
                      <m:t>c</m:t>
                    </m:r>
                    <m:ctrlPr>
                      <w:rPr>
                        <w:rFonts w:ascii="Cambria Math" w:hAnsi="Cambria Math"/>
                        <w:sz w:val="17"/>
                        <w:szCs w:val="17"/>
                      </w:rPr>
                    </m:ctrlPr>
                  </m:num>
                  <m:den>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den>
                </m:f>
                <m:r>
                  <m:rPr>
                    <m:nor/>
                    <m:sty m:val="p"/>
                  </m:rPr>
                  <w:rPr>
                    <w:rFonts w:ascii="Cambria Math" w:hAnsi="Cambria Math"/>
                    <w:b w:val="0"/>
                    <w:i w:val="0"/>
                    <w:sz w:val="17"/>
                    <w:szCs w:val="17"/>
                  </w:rPr>
                  <m:t> + </m:t>
                </m:r>
                <m:f>
                  <m:fPr>
                    <m:ctrlPr>
                      <w:rPr>
                        <w:rFonts w:ascii="Cambria Math" w:hAnsi="Cambria Math"/>
                        <w:sz w:val="17"/>
                        <w:szCs w:val="17"/>
                      </w:rPr>
                    </m:ctrlPr>
                  </m:fPr>
                  <m:num>
                    <m:sSup>
                      <m:sSupPr>
                        <m:ctrlPr>
                          <w:rPr>
                            <w:rFonts w:ascii="Cambria Math" w:hAnsi="Cambria Math"/>
                            <w:sz w:val="17"/>
                            <w:szCs w:val="17"/>
                          </w:rPr>
                        </m:ctrlPr>
                      </m:sSupPr>
                      <m:e>
                        <m:r>
                          <m:rPr/>
                          <w:rPr>
                            <w:rFonts w:ascii="Cambria Math" w:hAnsi="Cambria Math"/>
                            <w:b w:val="0"/>
                            <w:i w:val="0"/>
                            <w:sz w:val="17"/>
                            <w:szCs w:val="17"/>
                          </w:rPr>
                          <m:t>c</m:t>
                        </m:r>
                        <m:ctrlPr>
                          <w:rPr>
                            <w:rFonts w:ascii="Cambria Math" w:hAnsi="Cambria Math"/>
                            <w:sz w:val="17"/>
                            <w:szCs w:val="17"/>
                          </w:rPr>
                        </m:ctrlPr>
                      </m:e>
                      <m:sup>
                        <m:r>
                          <m:rPr>
                            <m:nor/>
                            <m:sty m:val="p"/>
                          </m:rPr>
                          <w:rPr>
                            <w:rFonts w:ascii="Cambria Math" w:hAnsi="Cambria Math"/>
                            <w:b w:val="0"/>
                            <w:i w:val="0"/>
                            <w:sz w:val="17"/>
                            <w:szCs w:val="17"/>
                          </w:rPr>
                          <m:t>2</m:t>
                        </m:r>
                        <m:ctrlPr>
                          <w:rPr>
                            <w:rFonts w:ascii="Cambria Math" w:hAnsi="Cambria Math"/>
                            <w:sz w:val="17"/>
                            <w:szCs w:val="17"/>
                          </w:rPr>
                        </m:ctrlPr>
                      </m:sup>
                    </m:sSup>
                    <m:ctrlPr>
                      <w:rPr>
                        <w:rFonts w:ascii="Cambria Math" w:hAnsi="Cambria Math"/>
                        <w:sz w:val="17"/>
                        <w:szCs w:val="17"/>
                      </w:rPr>
                    </m:ctrlPr>
                  </m:num>
                  <m:den>
                    <m:r>
                      <m:rPr>
                        <m:nor/>
                        <m:sty m:val="p"/>
                      </m:rPr>
                      <w:rPr>
                        <w:rFonts w:ascii="Cambria Math" w:hAnsi="Cambria Math"/>
                        <w:b w:val="0"/>
                        <w:i w:val="0"/>
                        <w:sz w:val="17"/>
                        <w:szCs w:val="17"/>
                      </w:rPr>
                      <m:t>2</m:t>
                    </m:r>
                    <m:sSup>
                      <m:sSupPr>
                        <m:ctrlPr>
                          <w:rPr>
                            <w:rFonts w:ascii="Cambria Math" w:hAnsi="Cambria Math"/>
                            <w:sz w:val="17"/>
                            <w:szCs w:val="17"/>
                          </w:rPr>
                        </m:ctrlPr>
                      </m:sSupPr>
                      <m:e>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sup>
                        <m:r>
                          <m:rPr>
                            <m:nor/>
                            <m:sty m:val="p"/>
                          </m:rPr>
                          <w:rPr>
                            <w:rFonts w:ascii="Cambria Math" w:hAnsi="Cambria Math"/>
                            <w:b w:val="0"/>
                            <w:i w:val="0"/>
                            <w:sz w:val="17"/>
                            <w:szCs w:val="17"/>
                          </w:rPr>
                          <m:t>2</m:t>
                        </m:r>
                        <m:ctrlPr>
                          <w:rPr>
                            <w:rFonts w:ascii="Cambria Math" w:hAnsi="Cambria Math"/>
                            <w:sz w:val="17"/>
                            <w:szCs w:val="17"/>
                          </w:rPr>
                        </m:ctrlPr>
                      </m:sup>
                    </m:sSup>
                    <m:ctrlPr>
                      <w:rPr>
                        <w:rFonts w:ascii="Cambria Math" w:hAnsi="Cambria Math"/>
                        <w:sz w:val="17"/>
                        <w:szCs w:val="17"/>
                      </w:rPr>
                    </m:ctrlPr>
                  </m:den>
                </m:f>
                <m:r>
                  <m:rPr>
                    <m:nor/>
                    <m:sty m:val="p"/>
                  </m:rPr>
                  <w:rPr>
                    <w:rFonts w:ascii="Cambria Math" w:hAnsi="Cambria Math"/>
                    <w:b w:val="0"/>
                    <w:i w:val="0"/>
                    <w:sz w:val="17"/>
                    <w:szCs w:val="17"/>
                  </w:rPr>
                  <m:t xml:space="preserve"> − </m:t>
                </m:r>
                <m:f>
                  <m:fPr>
                    <m:ctrlPr>
                      <w:rPr>
                        <w:rFonts w:ascii="Cambria Math" w:hAnsi="Cambria Math"/>
                        <w:sz w:val="17"/>
                        <w:szCs w:val="17"/>
                      </w:rPr>
                    </m:ctrlPr>
                  </m:fPr>
                  <m:num>
                    <m:sSup>
                      <m:sSupPr>
                        <m:ctrlPr>
                          <w:rPr>
                            <w:rFonts w:ascii="Cambria Math" w:hAnsi="Cambria Math"/>
                            <w:sz w:val="17"/>
                            <w:szCs w:val="17"/>
                          </w:rPr>
                        </m:ctrlPr>
                      </m:sSupPr>
                      <m:e>
                        <m:r>
                          <m:rPr/>
                          <w:rPr>
                            <w:rFonts w:ascii="Cambria Math" w:hAnsi="Cambria Math"/>
                            <w:b w:val="0"/>
                            <w:i w:val="0"/>
                            <w:sz w:val="17"/>
                            <w:szCs w:val="17"/>
                          </w:rPr>
                          <m:t>c</m:t>
                        </m:r>
                        <m:ctrlPr>
                          <w:rPr>
                            <w:rFonts w:ascii="Cambria Math" w:hAnsi="Cambria Math"/>
                            <w:sz w:val="17"/>
                            <w:szCs w:val="17"/>
                          </w:rPr>
                        </m:ctrlPr>
                      </m:e>
                      <m:sup>
                        <m:r>
                          <m:rPr>
                            <m:nor/>
                            <m:sty m:val="p"/>
                          </m:rPr>
                          <w:rPr>
                            <w:rFonts w:ascii="Cambria Math" w:hAnsi="Cambria Math"/>
                            <w:b w:val="0"/>
                            <w:i w:val="0"/>
                            <w:sz w:val="17"/>
                            <w:szCs w:val="17"/>
                          </w:rPr>
                          <m:t>3</m:t>
                        </m:r>
                        <m:ctrlPr>
                          <w:rPr>
                            <w:rFonts w:ascii="Cambria Math" w:hAnsi="Cambria Math"/>
                            <w:sz w:val="17"/>
                            <w:szCs w:val="17"/>
                          </w:rPr>
                        </m:ctrlPr>
                      </m:sup>
                    </m:sSup>
                    <m:ctrlPr>
                      <w:rPr>
                        <w:rFonts w:ascii="Cambria Math" w:hAnsi="Cambria Math"/>
                        <w:sz w:val="17"/>
                        <w:szCs w:val="17"/>
                      </w:rPr>
                    </m:ctrlPr>
                  </m:num>
                  <m:den>
                    <m:r>
                      <m:rPr>
                        <m:nor/>
                        <m:sty m:val="p"/>
                      </m:rPr>
                      <w:rPr>
                        <w:rFonts w:ascii="Cambria Math" w:hAnsi="Cambria Math"/>
                        <w:b w:val="0"/>
                        <w:i w:val="0"/>
                        <w:sz w:val="17"/>
                        <w:szCs w:val="17"/>
                      </w:rPr>
                      <m:t>6</m:t>
                    </m:r>
                    <m:sSup>
                      <m:sSupPr>
                        <m:ctrlPr>
                          <w:rPr>
                            <w:rFonts w:ascii="Cambria Math" w:hAnsi="Cambria Math"/>
                            <w:sz w:val="17"/>
                            <w:szCs w:val="17"/>
                          </w:rPr>
                        </m:ctrlPr>
                      </m:sSupPr>
                      <m:e>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sup>
                        <m:r>
                          <m:rPr>
                            <m:nor/>
                            <m:sty m:val="p"/>
                          </m:rPr>
                          <w:rPr>
                            <w:rFonts w:ascii="Cambria Math" w:hAnsi="Cambria Math"/>
                            <w:b w:val="0"/>
                            <w:i w:val="0"/>
                            <w:sz w:val="17"/>
                            <w:szCs w:val="17"/>
                          </w:rPr>
                          <m:t>3</m:t>
                        </m:r>
                        <m:ctrlPr>
                          <w:rPr>
                            <w:rFonts w:ascii="Cambria Math" w:hAnsi="Cambria Math"/>
                            <w:sz w:val="17"/>
                            <w:szCs w:val="17"/>
                          </w:rPr>
                        </m:ctrlPr>
                      </m:sup>
                    </m:sSup>
                    <m:ctrlPr>
                      <w:rPr>
                        <w:rFonts w:ascii="Cambria Math" w:hAnsi="Cambria Math"/>
                        <w:sz w:val="17"/>
                        <w:szCs w:val="17"/>
                      </w:rPr>
                    </m:ctrlPr>
                  </m:den>
                </m:f>
                <m:r>
                  <m:rPr>
                    <m:nor/>
                    <m:sty m:val="p"/>
                  </m:rPr>
                  <w:rPr>
                    <w:rFonts w:ascii="Cambria Math" w:hAnsi="Cambria Math"/>
                    <w:b w:val="0"/>
                    <w:i w:val="0"/>
                    <w:sz w:val="17"/>
                    <w:szCs w:val="17"/>
                  </w:rPr>
                  <m:t>+o</m:t>
                </m:r>
                <m:d>
                  <m:dPr>
                    <m:ctrlPr>
                      <w:rPr>
                        <w:rFonts w:ascii="Cambria Math" w:hAnsi="Cambria Math"/>
                        <w:sz w:val="17"/>
                        <w:szCs w:val="17"/>
                      </w:rPr>
                    </m:ctrlPr>
                  </m:dPr>
                  <m:e>
                    <m:f>
                      <m:fPr>
                        <m:ctrlPr>
                          <w:rPr>
                            <w:rFonts w:ascii="Cambria Math" w:hAnsi="Cambria Math"/>
                            <w:sz w:val="17"/>
                            <w:szCs w:val="17"/>
                          </w:rPr>
                        </m:ctrlPr>
                      </m:fPr>
                      <m:num>
                        <m:r>
                          <m:rPr>
                            <m:nor/>
                            <m:sty m:val="p"/>
                          </m:rPr>
                          <w:rPr>
                            <w:rFonts w:ascii="Cambria Math" w:hAnsi="Cambria Math"/>
                            <w:b w:val="0"/>
                            <w:i w:val="0"/>
                            <w:sz w:val="17"/>
                            <w:szCs w:val="17"/>
                          </w:rPr>
                          <m:t>1</m:t>
                        </m:r>
                        <m:ctrlPr>
                          <w:rPr>
                            <w:rFonts w:ascii="Cambria Math" w:hAnsi="Cambria Math"/>
                            <w:sz w:val="17"/>
                            <w:szCs w:val="17"/>
                          </w:rPr>
                        </m:ctrlPr>
                      </m:num>
                      <m:den>
                        <m:sSup>
                          <m:sSupPr>
                            <m:ctrlPr>
                              <w:rPr>
                                <w:rFonts w:ascii="Cambria Math" w:hAnsi="Cambria Math"/>
                                <w:sz w:val="17"/>
                                <w:szCs w:val="17"/>
                              </w:rPr>
                            </m:ctrlPr>
                          </m:sSupPr>
                          <m:e>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sup>
                            <m:r>
                              <m:rPr>
                                <m:nor/>
                                <m:sty m:val="p"/>
                              </m:rPr>
                              <w:rPr>
                                <w:rFonts w:ascii="Cambria Math" w:hAnsi="Cambria Math"/>
                                <w:b w:val="0"/>
                                <w:i w:val="0"/>
                                <w:sz w:val="17"/>
                                <w:szCs w:val="17"/>
                              </w:rPr>
                              <m:t>3</m:t>
                            </m:r>
                            <m:ctrlPr>
                              <w:rPr>
                                <w:rFonts w:ascii="Cambria Math" w:hAnsi="Cambria Math"/>
                                <w:sz w:val="17"/>
                                <w:szCs w:val="17"/>
                              </w:rPr>
                            </m:ctrlPr>
                          </m:sup>
                        </m:sSup>
                        <m:ctrlPr>
                          <w:rPr>
                            <w:rFonts w:ascii="Cambria Math" w:hAnsi="Cambria Math"/>
                            <w:sz w:val="17"/>
                            <w:szCs w:val="17"/>
                          </w:rPr>
                        </m:ctrlPr>
                      </m:den>
                    </m:f>
                    <m:ctrlPr>
                      <w:rPr>
                        <w:rFonts w:ascii="Cambria Math" w:hAnsi="Cambria Math"/>
                        <w:sz w:val="17"/>
                        <w:szCs w:val="17"/>
                      </w:rPr>
                    </m:ctrlPr>
                  </m:e>
                </m:d>
                <m:r>
                  <m:rPr>
                    <m:nor/>
                    <m:sty m:val="p"/>
                  </m:rPr>
                  <w:rPr>
                    <w:rFonts w:ascii="Cambria Math" w:hAnsi="Cambria Math"/>
                    <w:b w:val="0"/>
                    <w:i w:val="0"/>
                    <w:sz w:val="17"/>
                    <w:szCs w:val="17"/>
                  </w:rPr>
                  <m:t>, </m:t>
                </m:r>
                <m:r>
                  <m:rPr/>
                  <w:rPr>
                    <w:rFonts w:ascii="Cambria Math" w:hAnsi="Cambria Math"/>
                    <w:sz w:val="17"/>
                    <w:szCs w:val="17"/>
                  </w:rPr>
                  <m:t>S</m:t>
                </m:r>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oMath>
            </m:oMathPara>
          </w:p>
        </w:tc>
        <w:tc>
          <w:tcPr>
            <w:tcW w:w="400" w:type="dxa"/>
            <w:tcMar>
              <w:top w:w="0" w:type="dxa"/>
              <w:left w:w="0" w:type="dxa"/>
              <w:bottom w:w="0" w:type="dxa"/>
              <w:right w:w="0" w:type="dxa"/>
            </w:tcMar>
          </w:tcPr>
          <w:p w14:paraId="15223943">
            <w:pPr>
              <w:keepLines/>
              <w:tabs>
                <w:tab w:val="center" w:pos="4535"/>
                <w:tab w:val="right" w:pos="9070"/>
              </w:tabs>
              <w:jc w:val="right"/>
            </w:pPr>
            <w:r>
              <w:t>(15)</w:t>
            </w:r>
          </w:p>
        </w:tc>
      </w:tr>
    </w:tbl>
    <w:p w14:paraId="1EF8ED9C">
      <w:pPr>
        <w:widowControl w:val="0"/>
        <w:spacing w:line="252" w:lineRule="auto"/>
        <w:ind w:firstLine="202"/>
        <w:jc w:val="both"/>
        <w:rPr>
          <w:color w:val="000000"/>
          <w:lang w:eastAsia="zh-CN"/>
        </w:rPr>
      </w:pPr>
      <w:r>
        <w:rPr>
          <w:rFonts w:ascii="Times New Roman" w:hAnsi="Times New Roman" w:eastAsia="Songti SC"/>
          <w:b w:val="0"/>
          <w:i w:val="0"/>
          <w:color w:val="000000"/>
          <w:sz w:val="20"/>
        </w:rPr>
        <w:t xml:space="preserve">Because the argument x =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is positive, the descriptor is bounded in (0,1): it tends to 0 as x tends to 0 and to 1 as x grows. For x much larger than c, the first-order expansion 1 - c/x is accurate and explains why the score grows with the scattering power; for x much smaller than c, the exponential is the correct form and the expansion does not apply. Monotonicity implies that any rank-based metric, including AUC, is independent of c.</w:t>
      </w:r>
    </w:p>
    <w:p w14:paraId="0B380061">
      <w:pPr>
        <w:pStyle w:val="3"/>
        <w:numPr>
          <w:ilvl w:val="0"/>
          <w:numId w:val="0"/>
        </w:numPr>
      </w:pPr>
      <w:r>
        <w:rPr>
          <w:rFonts w:ascii="Times New Roman" w:hAnsi="Times New Roman" w:eastAsia="Songti SC"/>
          <w:b/>
          <w:i w:val="0"/>
          <w:sz w:val="20"/>
        </w:rPr>
        <w:t>C. Dual-Layer Detection Framework</w:t>
      </w:r>
    </w:p>
    <w:p w14:paraId="45A93607">
      <w:p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790065"/>
                  <wp:docPr id="5" name="Picture 5"/>
                  <wp:cNvGraphicFramePr>
                    <a:graphicFrameLocks noChangeAspect="1"/>
                  </wp:cNvGraphicFramePr>
                  <a:graphic>
                    <a:graphicData uri="http://schemas.openxmlformats.org/drawingml/2006/picture">
                      <pic:pic>
                        <pic:nvPicPr>
                          <pic:cNvPr id="0" name="fig06.png"/>
                          <pic:cNvPicPr/>
                        </pic:nvPicPr>
                        <pic:blipFill>
                          <a:blip r:embed="rId140"/>
                          <a:stretch>
                            <a:fillRect/>
                          </a:stretch>
                        </pic:blipFill>
                        <pic:spPr>
                          <a:xfrm>
                            <a:off x="0" y="0"/>
                            <a:ext cx="2971800" cy="1790065"/>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6. Schematic diagram of the dual-layer detection framework.</w:t>
            </w:r>
          </w:p>
        </w:tc>
      </w:tr>
    </w:tbl>
    <w:p w14:paraId="4D6A0D35">
      <w:pPr>
        <w:widowControl w:val="0"/>
        <w:spacing w:line="252" w:lineRule="auto"/>
        <w:ind w:firstLine="202"/>
        <w:jc w:val="both"/>
        <w:rPr>
          <w:color w:val="000000"/>
          <w:lang w:eastAsia="zh-CN"/>
        </w:rPr>
      </w:pPr>
      <w:r>
        <w:rPr>
          <w:rFonts w:ascii="Times New Roman" w:hAnsi="Times New Roman" w:eastAsia="Songti SC"/>
          <w:b w:val="0"/>
          <w:i w:val="0"/>
          <w:sz w:val="20"/>
        </w:rPr>
        <w:t>The descriptor scores every pixel but carries no object-level semantics: a compact ship region and a cluster of clutter pixels can receive the same scores. A deep detector supplies that object-level view, yet every box it returns still contains water, wake and near-shore background. The two error types are complementary, so the layers are combined: the intelligent layer proposes candidate boxes first, and the general layer then extracts the ship pixels inside each box with the explicit descriptor, which tightens the boxes and makes each reported target traceable (Fig. 6).</w:t>
      </w:r>
    </w:p>
    <w:p w14:paraId="7CA4ECB5">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Inside a candidate region the extraction is explicit. The general layer sets a threshold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oMath>
      <w:r>
        <w:rPr>
          <w:rFonts w:ascii="Times New Roman" w:hAnsi="Times New Roman" w:eastAsia="Songti SC"/>
          <w:color w:val="000000"/>
          <w:sz w:val="20"/>
          <w:lang w:eastAsia="zh-CN"/>
        </w:rPr>
        <w:t xml:space="preserve"> on the descriptor: a pixel is declared a ship if its score is not lower than the threshold and sea otherwise, where </w:t>
      </w:r>
      <m:oMath>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rPr>
          <w:rFonts w:ascii="Times New Roman" w:hAnsi="Times New Roman" w:eastAsia="Songti SC"/>
          <w:color w:val="000000"/>
          <w:sz w:val="20"/>
          <w:lang w:eastAsia="zh-CN"/>
        </w:rPr>
        <w:t xml:space="preserve"> is the decision (1 for ship, 0 for sea). One exponential operation and one comparison are all the rule needs, with no training and no GPU:</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A3F9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73ECA2EE">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y</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 </m:t>
                </m:r>
                <m:d>
                  <m:dPr>
                    <m:begChr m:val="{"/>
                    <m:endChr m:val=""/>
                    <m:ctrlPr>
                      <w:rPr>
                        <w:rFonts w:ascii="Cambria Math" w:hAnsi="Cambria Math"/>
                        <w:sz w:val="17"/>
                        <w:szCs w:val="17"/>
                      </w:rPr>
                    </m:ctrlPr>
                  </m:dPr>
                  <m:e>
                    <m:eqArr>
                      <m:eqArrPr>
                        <m:ctrlPr>
                          <w:rPr>
                            <w:rFonts w:ascii="Cambria Math" w:hAnsi="Cambria Math"/>
                            <w:sz w:val="17"/>
                            <w:szCs w:val="17"/>
                          </w:rPr>
                        </m:ctrlPr>
                      </m:eqArrPr>
                      <m:e>
                        <m:r>
                          <m:rPr>
                            <m:nor/>
                            <m:sty m:val="p"/>
                          </m:rPr>
                          <w:rPr>
                            <w:rFonts w:ascii="Cambria Math" w:hAnsi="Cambria Math"/>
                            <w:b w:val="0"/>
                            <w:i w:val="0"/>
                            <w:sz w:val="17"/>
                            <w:szCs w:val="17"/>
                          </w:rPr>
                          <m:t>1, 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mv,i</m:t>
                            </m:r>
                            <m:ctrlPr>
                              <w:rPr>
                                <w:rFonts w:ascii="Cambria Math" w:hAnsi="Cambria Math"/>
                                <w:sz w:val="17"/>
                                <w:szCs w:val="17"/>
                              </w:rPr>
                            </m:ctrlPr>
                          </m:sub>
                        </m:sSub>
                        <m:r>
                          <m:rPr>
                            <m:nor/>
                            <m:sty m:val="p"/>
                          </m:rPr>
                          <w:rPr>
                            <w:rFonts w:ascii="Cambria Math" w:hAnsi="Cambria Math"/>
                            <w:b w:val="0"/>
                            <w:i w:val="0"/>
                            <w:sz w:val="17"/>
                            <w:szCs w:val="17"/>
                          </w:rPr>
                          <m:t xml:space="preserve"> ≥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e>
                        <m:r>
                          <m:rPr>
                            <m:nor/>
                            <m:sty m:val="p"/>
                          </m:rPr>
                          <w:rPr>
                            <w:rFonts w:ascii="Cambria Math" w:hAnsi="Cambria Math"/>
                            <w:b w:val="0"/>
                            <w:i w:val="0"/>
                            <w:sz w:val="17"/>
                            <w:szCs w:val="17"/>
                          </w:rPr>
                          <m:t>0, 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mv,i</m:t>
                            </m:r>
                            <m:ctrlPr>
                              <w:rPr>
                                <w:rFonts w:ascii="Cambria Math" w:hAnsi="Cambria Math"/>
                                <w:sz w:val="17"/>
                                <w:szCs w:val="17"/>
                              </w:rPr>
                            </m:ctrlPr>
                          </m:sub>
                        </m:sSub>
                        <m:r>
                          <m:rPr>
                            <m:nor/>
                            <m:sty m:val="p"/>
                          </m:rPr>
                          <w:rPr>
                            <w:rFonts w:ascii="Cambria Math" w:hAnsi="Cambria Math"/>
                            <w:b w:val="0"/>
                            <w:i w:val="0"/>
                            <w:sz w:val="17"/>
                            <w:szCs w:val="17"/>
                          </w:rPr>
                          <m:t> &lt;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1EB62FFB">
            <w:pPr>
              <w:keepLines/>
              <w:tabs>
                <w:tab w:val="center" w:pos="4535"/>
                <w:tab w:val="right" w:pos="9070"/>
              </w:tabs>
              <w:jc w:val="right"/>
            </w:pPr>
            <w:r>
              <w:t>(16)</w:t>
            </w:r>
          </w:p>
        </w:tc>
      </w:tr>
    </w:tbl>
    <w:p w14:paraId="21EA4393">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threshold is not set empirically: an ROC curve is drawn on the training set and the point where the difference between the true-positive and false-positive rates is largest is taken as the working point, where TPR(</w:t>
      </w:r>
      <m:oMath>
        <m:r>
          <m:rPr/>
          <w:rPr>
            <w:rFonts w:ascii="Cambria Math" w:hAnsi="Cambria Math"/>
          </w:rPr>
          <m:t>τ</m:t>
        </m:r>
      </m:oMath>
      <w:r>
        <w:rPr>
          <w:rFonts w:ascii="Times New Roman" w:hAnsi="Times New Roman" w:eastAsia="Songti SC"/>
          <w:color w:val="000000"/>
          <w:sz w:val="20"/>
          <w:lang w:eastAsia="zh-CN"/>
        </w:rPr>
        <w:t>) and FPR(</w:t>
      </w:r>
      <m:oMath>
        <m:r>
          <m:rPr/>
          <w:rPr>
            <w:rFonts w:ascii="Cambria Math" w:hAnsi="Cambria Math"/>
          </w:rPr>
          <m:t>τ</m:t>
        </m:r>
      </m:oMath>
      <w:r>
        <w:rPr>
          <w:rFonts w:ascii="Times New Roman" w:hAnsi="Times New Roman" w:eastAsia="Songti SC"/>
          <w:color w:val="000000"/>
          <w:sz w:val="20"/>
          <w:lang w:eastAsia="zh-CN"/>
        </w:rPr>
        <w:t>) are the proportions of ship pixels correctly declared ships and of sea pixels incorrectly declared ships. Once fixed it stays unchanged on the test set:</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1B60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190D5775">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r>
                  <m:rPr>
                    <m:nor/>
                    <m:sty m:val="p"/>
                  </m:rPr>
                  <w:rPr>
                    <w:rFonts w:ascii="Cambria Math" w:hAnsi="Cambria Math"/>
                    <w:b w:val="0"/>
                    <w:i w:val="0"/>
                    <w:sz w:val="17"/>
                    <w:szCs w:val="17"/>
                  </w:rPr>
                  <m:t> = </m:t>
                </m:r>
                <m:limLow>
                  <m:limLowPr>
                    <m:ctrlPr>
                      <w:rPr>
                        <w:rFonts w:ascii="Cambria Math" w:hAnsi="Cambria Math"/>
                        <w:sz w:val="17"/>
                        <w:szCs w:val="17"/>
                      </w:rPr>
                    </m:ctrlPr>
                  </m:limLowPr>
                  <m:e>
                    <m:r>
                      <m:rPr>
                        <m:nor/>
                        <m:sty m:val="p"/>
                      </m:rPr>
                      <w:rPr>
                        <w:rFonts w:ascii="Cambria Math" w:hAnsi="Cambria Math"/>
                        <w:b w:val="0"/>
                        <w:i w:val="0"/>
                        <w:sz w:val="17"/>
                        <w:szCs w:val="17"/>
                      </w:rPr>
                      <m:t>arg max</m:t>
                    </m:r>
                    <m:ctrlPr>
                      <w:rPr>
                        <w:rFonts w:ascii="Cambria Math" w:hAnsi="Cambria Math"/>
                        <w:sz w:val="17"/>
                        <w:szCs w:val="17"/>
                      </w:rPr>
                    </m:ctrlPr>
                  </m:e>
                  <m:lim>
                    <m:r>
                      <m:rPr/>
                      <w:rPr>
                        <w:rFonts w:ascii="Cambria Math" w:hAnsi="Cambria Math"/>
                        <w:sz w:val="17"/>
                        <w:szCs w:val="17"/>
                      </w:rPr>
                      <m:t>τ</m:t>
                    </m:r>
                    <m:r>
                      <m:rPr>
                        <m:nor/>
                        <m:sty m:val="p"/>
                      </m:rPr>
                      <w:rPr>
                        <w:rFonts w:ascii="Cambria Math" w:hAnsi="Cambria Math"/>
                        <w:b w:val="0"/>
                        <w:i w:val="0"/>
                        <w:sz w:val="17"/>
                        <w:szCs w:val="17"/>
                      </w:rPr>
                      <m:t xml:space="preserve"> ∈ (0,1)</m:t>
                    </m:r>
                    <m:ctrlPr>
                      <w:rPr>
                        <w:rFonts w:ascii="Cambria Math" w:hAnsi="Cambria Math"/>
                        <w:sz w:val="17"/>
                        <w:szCs w:val="17"/>
                      </w:rPr>
                    </m:ctrlPr>
                  </m:lim>
                </m:limLow>
                <m:r>
                  <m:rPr>
                    <m:nor/>
                    <m:sty m:val="p"/>
                  </m:rPr>
                  <w:rPr>
                    <w:rFonts w:ascii="Cambria Math" w:hAnsi="Cambria Math"/>
                    <w:b w:val="0"/>
                    <w:i w:val="0"/>
                    <w:sz w:val="17"/>
                    <w:szCs w:val="17"/>
                  </w:rPr>
                  <m:t> </m:t>
                </m:r>
                <m:d>
                  <m:dPr>
                    <m:begChr m:val="|"/>
                    <m:endChr m:val="|"/>
                    <m:ctrlPr>
                      <w:rPr>
                        <w:rFonts w:ascii="Cambria Math" w:hAnsi="Cambria Math"/>
                        <w:sz w:val="17"/>
                        <w:szCs w:val="17"/>
                      </w:rPr>
                    </m:ctrlPr>
                  </m:dPr>
                  <m:e>
                    <m:r>
                      <m:rPr>
                        <m:nor/>
                        <m:sty m:val="p"/>
                      </m:rPr>
                      <w:rPr>
                        <w:rFonts w:ascii="Cambria Math" w:hAnsi="Cambria Math"/>
                        <w:b w:val="0"/>
                        <w:i w:val="0"/>
                        <w:sz w:val="17"/>
                        <w:szCs w:val="17"/>
                      </w:rPr>
                      <m:t>TPR</m:t>
                    </m:r>
                    <m:d>
                      <m:dPr>
                        <m:ctrlPr>
                          <w:rPr>
                            <w:rFonts w:ascii="Cambria Math" w:hAnsi="Cambria Math"/>
                            <w:sz w:val="17"/>
                            <w:szCs w:val="17"/>
                          </w:rPr>
                        </m:ctrlPr>
                      </m:dPr>
                      <m:e>
                        <m:r>
                          <m:rPr/>
                          <w:rPr>
                            <w:rFonts w:ascii="Cambria Math" w:hAnsi="Cambria Math"/>
                            <w:sz w:val="17"/>
                            <w:szCs w:val="17"/>
                          </w:rPr>
                          <m:t>τ</m:t>
                        </m:r>
                        <m:ctrlPr>
                          <w:rPr>
                            <w:rFonts w:ascii="Cambria Math" w:hAnsi="Cambria Math"/>
                            <w:sz w:val="17"/>
                            <w:szCs w:val="17"/>
                          </w:rPr>
                        </m:ctrlPr>
                      </m:e>
                    </m:d>
                    <m:r>
                      <m:rPr>
                        <m:nor/>
                        <m:sty m:val="p"/>
                      </m:rPr>
                      <w:rPr>
                        <w:rFonts w:ascii="Cambria Math" w:hAnsi="Cambria Math"/>
                        <w:b w:val="0"/>
                        <w:i w:val="0"/>
                        <w:sz w:val="17"/>
                        <w:szCs w:val="17"/>
                      </w:rPr>
                      <m:t xml:space="preserve"> − FPR</m:t>
                    </m:r>
                    <m:d>
                      <m:dPr>
                        <m:ctrlPr>
                          <w:rPr>
                            <w:rFonts w:ascii="Cambria Math" w:hAnsi="Cambria Math"/>
                            <w:sz w:val="17"/>
                            <w:szCs w:val="17"/>
                          </w:rPr>
                        </m:ctrlPr>
                      </m:dPr>
                      <m:e>
                        <m:r>
                          <m:rPr/>
                          <w:rPr>
                            <w:rFonts w:ascii="Cambria Math" w:hAnsi="Cambria Math"/>
                            <w:sz w:val="17"/>
                            <w:szCs w:val="17"/>
                          </w:rPr>
                          <m:t>τ</m:t>
                        </m:r>
                        <m:ctrlPr>
                          <w:rPr>
                            <w:rFonts w:ascii="Cambria Math" w:hAnsi="Cambria Math"/>
                            <w:sz w:val="17"/>
                            <w:szCs w:val="17"/>
                          </w:rPr>
                        </m:ctrlPr>
                      </m:e>
                    </m:d>
                    <m:ctrlPr>
                      <w:rPr>
                        <w:rFonts w:ascii="Cambria Math" w:hAnsi="Cambria Math"/>
                        <w:sz w:val="17"/>
                        <w:szCs w:val="17"/>
                      </w:rPr>
                    </m:ctrlPr>
                  </m:e>
                </m:d>
              </m:oMath>
            </m:oMathPara>
          </w:p>
        </w:tc>
        <w:tc>
          <w:tcPr>
            <w:tcW w:w="400" w:type="dxa"/>
            <w:tcMar>
              <w:top w:w="0" w:type="dxa"/>
              <w:left w:w="0" w:type="dxa"/>
              <w:bottom w:w="0" w:type="dxa"/>
              <w:right w:w="0" w:type="dxa"/>
            </w:tcMar>
          </w:tcPr>
          <w:p w14:paraId="621C3B48">
            <w:pPr>
              <w:keepLines/>
              <w:tabs>
                <w:tab w:val="center" w:pos="4535"/>
                <w:tab w:val="right" w:pos="9070"/>
              </w:tabs>
              <w:jc w:val="right"/>
            </w:pPr>
            <w:r>
              <w:t>(17)</w:t>
            </w:r>
          </w:p>
        </w:tc>
      </w:tr>
    </w:tbl>
    <w:p w14:paraId="4FB9597A">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Eq. (17) thresholds the descriptor, whose readings are not directly interpretable. Let </w:t>
      </w:r>
      <m:oMath>
        <m:r>
          <m:rPr/>
          <w:rPr>
            <w:rFonts w:ascii="Cambria Math" w:hAnsi="Cambria Math"/>
          </w:rPr>
          <m:t>S</m:t>
        </m:r>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r>
          <m:rPr/>
          <w:rPr>
            <w:rFonts w:ascii="Cambria Math" w:hAnsi="Cambria Math"/>
          </w:rPr>
          <m:t>S</m:t>
        </m:r>
      </m:oMath>
      <w:r>
        <w:rPr>
          <w:rFonts w:ascii="Times New Roman" w:hAnsi="Times New Roman" w:eastAsia="Songti SC"/>
          <w:color w:val="000000"/>
          <w:sz w:val="20"/>
          <w:lang w:eastAsia="zh-CN"/>
        </w:rPr>
        <w:t xml:space="preserve"> be the sum of the ship characteristic scattering and the volume scattering power; by Eq. (14) the descriptor is monotonic in it, so the two thresholds are fully equivalent:</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FBC5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69DC6FF">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r>
                  <m:rPr>
                    <m:nor/>
                    <m:sty m:val="p"/>
                  </m:rPr>
                  <w:rPr>
                    <w:rFonts w:ascii="Cambria Math" w:hAnsi="Cambria Math"/>
                    <w:b w:val="0"/>
                    <w:i w:val="0"/>
                    <w:sz w:val="17"/>
                    <w:szCs w:val="17"/>
                  </w:rPr>
                  <m:t xml:space="preserve"> ≥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r>
                  <m:rPr>
                    <m:nor/>
                    <m:sty m:val="p"/>
                  </m:rPr>
                  <w:rPr>
                    <w:rFonts w:ascii="Cambria Math" w:hAnsi="Cambria Math"/>
                    <w:b w:val="0"/>
                    <w:i w:val="0"/>
                    <w:sz w:val="17"/>
                    <w:szCs w:val="17"/>
                  </w:rPr>
                  <m:t xml:space="preserve">  ⇔ </m:t>
                </m:r>
                <m:r>
                  <m:rPr/>
                  <w:rPr>
                    <w:rFonts w:ascii="Cambria Math" w:hAnsi="Cambria Math"/>
                    <w:sz w:val="17"/>
                    <w:szCs w:val="17"/>
                  </w:rPr>
                  <m:t>S</m:t>
                </m:r>
                <m:r>
                  <m:rPr>
                    <m:nor/>
                    <m:sty m:val="p"/>
                  </m:rPr>
                  <w:rPr>
                    <w:rFonts w:ascii="Cambria Math" w:hAnsi="Cambria Math"/>
                    <w:b w:val="0"/>
                    <w:i w:val="0"/>
                    <w:sz w:val="17"/>
                    <w:szCs w:val="17"/>
                  </w:rPr>
                  <m:t xml:space="preserve"> ≥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r>
                  <m:rPr>
                    <m:nor/>
                    <m:sty m:val="p"/>
                  </m:rPr>
                  <w:rPr>
                    <w:rFonts w:ascii="Cambria Math" w:hAnsi="Cambria Math"/>
                    <w:b w:val="0"/>
                    <w:i w:val="0"/>
                    <w:sz w:val="17"/>
                    <w:szCs w:val="17"/>
                  </w:rPr>
                  <m:t>, 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r>
                  <m:rPr>
                    <m:nor/>
                    <m:sty m:val="p"/>
                  </m:rPr>
                  <w:rPr>
                    <w:rFonts w:ascii="Cambria Math" w:hAnsi="Cambria Math"/>
                    <w:b w:val="0"/>
                    <w:i w:val="0"/>
                    <w:sz w:val="17"/>
                    <w:szCs w:val="17"/>
                  </w:rPr>
                  <m:t> =−</m:t>
                </m:r>
                <m:f>
                  <m:fPr>
                    <m:ctrlPr>
                      <w:rPr>
                        <w:rFonts w:ascii="Cambria Math" w:hAnsi="Cambria Math"/>
                        <w:sz w:val="17"/>
                        <w:szCs w:val="17"/>
                      </w:rPr>
                    </m:ctrlPr>
                  </m:fPr>
                  <m:num>
                    <m:r>
                      <m:rPr/>
                      <w:rPr>
                        <w:rFonts w:ascii="Cambria Math" w:hAnsi="Cambria Math"/>
                        <w:sz w:val="17"/>
                        <w:szCs w:val="17"/>
                      </w:rPr>
                      <m:t>c</m:t>
                    </m:r>
                    <m:ctrlPr>
                      <w:rPr>
                        <w:rFonts w:ascii="Cambria Math" w:hAnsi="Cambria Math"/>
                        <w:sz w:val="17"/>
                        <w:szCs w:val="17"/>
                      </w:rPr>
                    </m:ctrlPr>
                  </m:num>
                  <m:den>
                    <m:d>
                      <m:dPr>
                        <m:ctrlPr>
                          <w:rPr>
                            <w:rFonts w:ascii="Cambria Math" w:hAnsi="Cambria Math"/>
                            <w:sz w:val="17"/>
                            <w:szCs w:val="17"/>
                          </w:rPr>
                        </m:ctrlPr>
                      </m:dPr>
                      <m:e>
                        <m:r>
                          <m:rPr>
                            <m:nor/>
                            <m:sty m:val="p"/>
                          </m:rPr>
                          <w:rPr>
                            <w:rFonts w:ascii="Cambria Math" w:hAnsi="Cambria Math"/>
                            <w:b w:val="0"/>
                            <w:i w:val="0"/>
                            <w:sz w:val="17"/>
                            <w:szCs w:val="17"/>
                          </w:rPr>
                          <m:t>ln</m:t>
                        </m:r>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d>
                    <m:ctrlPr>
                      <w:rPr>
                        <w:rFonts w:ascii="Cambria Math" w:hAnsi="Cambria Math"/>
                        <w:sz w:val="17"/>
                        <w:szCs w:val="17"/>
                      </w:rPr>
                    </m:ctrlPr>
                  </m:den>
                </m:f>
              </m:oMath>
            </m:oMathPara>
          </w:p>
        </w:tc>
        <w:tc>
          <w:tcPr>
            <w:tcW w:w="400" w:type="dxa"/>
            <w:tcMar>
              <w:top w:w="0" w:type="dxa"/>
              <w:left w:w="0" w:type="dxa"/>
              <w:bottom w:w="0" w:type="dxa"/>
              <w:right w:w="0" w:type="dxa"/>
            </w:tcMar>
          </w:tcPr>
          <w:p w14:paraId="5DEDF579">
            <w:pPr>
              <w:keepLines/>
              <w:tabs>
                <w:tab w:val="center" w:pos="4535"/>
                <w:tab w:val="right" w:pos="9070"/>
              </w:tabs>
              <w:jc w:val="right"/>
            </w:pPr>
            <w:r>
              <w:t>(18)</w:t>
            </w:r>
          </w:p>
        </w:tc>
      </w:tr>
    </w:tbl>
    <w:p w14:paraId="76EBFC45">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decision boundary is placed on a physical quantity, decoupled from the fitted constant: the constant differences among the five seeds change only the reading of the descriptor, not the decision of any pixel.</w:t>
      </w:r>
    </w:p>
    <w:p w14:paraId="573923A0">
      <w:pPr>
        <w:widowControl w:val="0"/>
        <w:spacing w:line="252" w:lineRule="auto"/>
        <w:ind w:firstLine="202"/>
        <w:jc w:val="both"/>
        <w:rPr>
          <w:color w:val="000000"/>
          <w:lang w:eastAsia="zh-CN"/>
        </w:rPr>
      </w:pPr>
      <w:r>
        <w:rPr>
          <w:rFonts w:ascii="Times New Roman" w:hAnsi="Times New Roman" w:eastAsia="Songti SC"/>
          <w:sz w:val="20"/>
        </w:rPr>
        <w:t>The general layer must output target-level boxes instead of a pixel cloud. The pixels declared as ships (i.e., all pixels with y_i = 1) are labeled by 8-connected components into blobs Ω_k; only blobs with an area of at least A_min are kept, each represented by its bounding box, where x^-_k and x^+_k (y^-_k and y^+_k) are the minimum and maximum of the blob along the horizontal (vertical) coordinate. Speckle leaves isolated spots of a few pixels whereas a real ship is a large connected region, so this step removes most false alarms with little loss of true targets and introduces no learnable parameter:</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28B9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40" w:after="40"/>
              <w:jc w:val="center"/>
            </w:pPr>
            <w:r>
              <w:rPr>
                <w:rFonts w:ascii="Times New Roman" w:hAnsi="Times New Roman" w:eastAsia="Songti SC"/>
                <w:i/>
                <w:sz w:val="17"/>
              </w:rPr>
              <w:t>|Ω_k| ≥ A_min,   B_k = ∪_i Ω_(k,i)</w:t>
            </w:r>
          </w:p>
        </w:tc>
        <w:tc>
          <w:tcPr>
            <w:tcW w:w="400" w:type="dxa"/>
            <w:tcMar>
              <w:top w:w="0" w:type="dxa"/>
              <w:left w:w="0" w:type="dxa"/>
              <w:bottom w:w="0" w:type="dxa"/>
              <w:right w:w="0" w:type="dxa"/>
            </w:tcMar>
          </w:tcPr>
          <w:p w14:paraId="7DB9BAF7">
            <w:pPr>
              <w:keepLines/>
              <w:tabs>
                <w:tab w:val="center" w:pos="4535"/>
                <w:tab w:val="right" w:pos="9070"/>
              </w:tabs>
              <w:jc w:val="right"/>
            </w:pPr>
            <w:r>
              <w:t>(19)</w:t>
            </w:r>
          </w:p>
        </w:tc>
      </w:tr>
    </w:tbl>
    <w:p w14:paraId="40FDA38B">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The intelligent layer supplies those proposals. It leaves the detector architecture, the loss and the training strategy untouched and changes only the input: instead of arranging the three scattering components into a three-channel image, this paper replaces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oMath>
      <w:r>
        <w:rPr>
          <w:rFonts w:ascii="Times New Roman" w:hAnsi="Times New Roman" w:eastAsia="Songti SC"/>
          <w:color w:val="000000"/>
          <w:sz w:val="20"/>
          <w:lang w:eastAsia="zh-CN"/>
        </w:rPr>
        <w:t xml:space="preserve"> with the descriptor:</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6D597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4E54E34E">
            <w:pPr>
              <w:keepLines/>
              <w:jc w:val="center"/>
            </w:pPr>
            <m:oMathPara>
              <m:oMath>
                <m:r>
                  <m:rPr/>
                  <w:rPr>
                    <w:rFonts w:ascii="Cambria Math" w:hAnsi="Cambria Math"/>
                  </w:rPr>
                  <m:t>X</m:t>
                </m:r>
                <m:r>
                  <m:rPr>
                    <m:nor/>
                    <m:sty m:val="p"/>
                  </m:rPr>
                  <w:rPr>
                    <w:rFonts w:ascii="Cambria Math" w:hAnsi="Cambria Math"/>
                    <w:b w:val="0"/>
                    <w:i w:val="0"/>
                  </w:rPr>
                  <m:t xml:space="preserve"> = </m:t>
                </m:r>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m</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v</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s</m:t>
                        </m:r>
                        <m:ctrlPr>
                          <w:rPr>
                            <w:rFonts w:ascii="Cambria Math" w:hAnsi="Cambria Math"/>
                            <w:sz w:val="17"/>
                            <w:szCs w:val="17"/>
                          </w:rPr>
                        </m:ctrlPr>
                      </m:sub>
                    </m:sSub>
                    <m:ctrlPr>
                      <w:rPr>
                        <w:rFonts w:ascii="Cambria Math" w:hAnsi="Cambria Math"/>
                        <w:sz w:val="17"/>
                        <w:szCs w:val="17"/>
                      </w:rPr>
                    </m:ctrlPr>
                  </m:e>
                </m:d>
                <m:r>
                  <m:rPr>
                    <m:nor/>
                    <m:sty m:val="p"/>
                  </m:rPr>
                  <w:rPr>
                    <w:rFonts w:ascii="Cambria Math" w:hAnsi="Cambria Math"/>
                    <w:b w:val="0"/>
                    <w:i w:val="0"/>
                  </w:rPr>
                  <m:t> → </m:t>
                </m:r>
                <m:sSup>
                  <m:sSupPr>
                    <m:ctrlPr>
                      <w:rPr>
                        <w:rFonts w:ascii="Cambria Math" w:hAnsi="Cambria Math"/>
                        <w:sz w:val="17"/>
                        <w:szCs w:val="17"/>
                      </w:rPr>
                    </m:ctrlPr>
                  </m:sSupPr>
                  <m:e>
                    <m:r>
                      <m:rPr/>
                      <w:rPr>
                        <w:rFonts w:ascii="Cambria Math" w:hAnsi="Cambria Math"/>
                      </w:rPr>
                      <m:t>X</m:t>
                    </m:r>
                    <m:ctrlPr>
                      <w:rPr>
                        <w:rFonts w:ascii="Cambria Math" w:hAnsi="Cambria Math"/>
                        <w:sz w:val="17"/>
                        <w:szCs w:val="17"/>
                      </w:rPr>
                    </m:ctrlPr>
                  </m:e>
                  <m:sup>
                    <m:r>
                      <m:rPr>
                        <m:nor/>
                        <m:sty m:val="p"/>
                      </m:rPr>
                      <w:rPr>
                        <w:rFonts w:ascii="Cambria Math" w:hAnsi="Cambria Math"/>
                        <w:b w:val="0"/>
                        <w:i w:val="0"/>
                      </w:rPr>
                      <m:t>′</m:t>
                    </m:r>
                    <m:ctrlPr>
                      <w:rPr>
                        <w:rFonts w:ascii="Cambria Math" w:hAnsi="Cambria Math"/>
                        <w:sz w:val="17"/>
                        <w:szCs w:val="17"/>
                      </w:rPr>
                    </m:ctrlPr>
                  </m:sup>
                </m:sSup>
                <m:r>
                  <m:rPr>
                    <m:nor/>
                    <m:sty m:val="p"/>
                  </m:rPr>
                  <w:rPr>
                    <w:rFonts w:ascii="Cambria Math" w:hAnsi="Cambria Math"/>
                    <w:b w:val="0"/>
                    <w:i w:val="0"/>
                  </w:rPr>
                  <m:t xml:space="preserve"> = </m:t>
                </m:r>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mv</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v</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s</m:t>
                        </m:r>
                        <m:ctrlPr>
                          <w:rPr>
                            <w:rFonts w:ascii="Cambria Math" w:hAnsi="Cambria Math"/>
                            <w:sz w:val="17"/>
                            <w:szCs w:val="17"/>
                          </w:rPr>
                        </m:ctrlPr>
                      </m:sub>
                    </m:sSub>
                    <m:ctrlPr>
                      <w:rPr>
                        <w:rFonts w:ascii="Cambria Math" w:hAnsi="Cambria Math"/>
                        <w:sz w:val="17"/>
                        <w:szCs w:val="17"/>
                      </w:rPr>
                    </m:ctrlPr>
                  </m:e>
                </m:d>
              </m:oMath>
            </m:oMathPara>
          </w:p>
        </w:tc>
        <w:tc>
          <w:tcPr>
            <w:tcW w:w="400" w:type="dxa"/>
            <w:tcMar>
              <w:top w:w="0" w:type="dxa"/>
              <w:left w:w="0" w:type="dxa"/>
              <w:bottom w:w="0" w:type="dxa"/>
              <w:right w:w="0" w:type="dxa"/>
            </w:tcMar>
          </w:tcPr>
          <w:p w14:paraId="5ADCE5A7">
            <w:pPr>
              <w:keepLines/>
              <w:jc w:val="right"/>
            </w:pPr>
            <w:r>
              <w:t>(20)</w:t>
            </w:r>
          </w:p>
        </w:tc>
      </w:tr>
    </w:tbl>
    <w:p w14:paraId="51538C77">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substitution is limited in scope. The descriptor is bounded after the exponential mapping, so the network no longer adapts to the multi-order dynamic range of the raw powers, and it widens the ship-sea margin, performing one step of pre-discrimination; being parameter-free and architecture-agnostic, the channel can be embedded into any existing detector.</w:t>
      </w:r>
    </w:p>
    <w:p>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The two layers then act in sequence. Let </w:t>
      </w:r>
      <m:oMath>
        <m:sSub>
          <m:sSubPr>
            <m:ctrlPr>
              <w:rPr>
                <w:rFonts w:ascii="Cambria Math" w:hAnsi="Cambria Math"/>
              </w:rPr>
            </m:ctrlPr>
          </m:sSubPr>
          <m:e>
            <m:r>
              <w:rPr>
                <w:rFonts w:ascii="Cambria Math" w:hAnsi="Cambria Math"/>
              </w:rPr>
              <m:t>B</m:t>
            </m:r>
          </m:e>
          <m:sub>
            <m:r>
              <m:rPr>
                <m:nor m:val="1"/>
              </m:rPr>
              <w:rPr>
                <w:rFonts w:ascii="Cambria Math" w:hAnsi="Cambria Math"/>
              </w:rPr>
              <m:t>k</m:t>
            </m:r>
          </m:sub>
        </m:sSub>
      </m:oMath>
      <w:r>
        <w:rPr>
          <w:rFonts w:ascii="Times New Roman" w:hAnsi="Times New Roman" w:eastAsia="Songti SC"/>
          <w:color w:val="000000"/>
          <w:sz w:val="20"/>
          <w:lang w:eastAsia="zh-CN"/>
        </w:rPr>
        <w:t xml:space="preserve"> be a box proposed by the intelligent layer; the general layer restricts its mask to that box and keeps the largest connected component, so the box is tightened to the ship it contains and any box whose mask falls below the minimum area is dropped:</w:t>
      </w:r>
    </w:p>
    <w:tbl>
      <w:tblPr>
        <w:tblW w:type="auto" w:w="0"/>
        <w:tblLayout w:type="fixed"/>
        <w:tblLook w:firstColumn="1" w:firstRow="1" w:lastColumn="0" w:lastRow="0" w:noHBand="0" w:noVBand="1" w:val="04A0"/>
        <w:tblLayout w:type="fixed"/>
        <w:tblW w:w="5040" w:type="dxa"/>
        <w:tblBorders>
          <w:top w:val="none"/>
          <w:left w:val="none"/>
          <w:bottom w:val="none"/>
          <w:right w:val="none"/>
          <w:insideH w:val="none"/>
          <w:insideV w:val="none"/>
        </w:tblBorders>
      </w:tblPr>
      <w:tblGrid>
        <w:gridCol w:w="4640"/>
        <w:gridCol w:w="400"/>
      </w:tblGrid>
      <w:tr>
        <w:tc>
          <w:tcPr>
            <w:tcW w:type="dxa" w:w="4640"/>
            <w:tcMar>
              <w:top w:w="0" w:type="dxa"/>
              <w:left w:w="0" w:type="dxa"/>
              <w:bottom w:w="0" w:type="dxa"/>
              <w:right w:w="0" w:type="dxa"/>
            </w:tcMar>
          </w:tcPr>
          <w:p>
            <w:pPr>
              <w:jc w:val="center"/>
            </w:pPr>
            <m:oMath>
              <m:sSup>
                <m:sSupPr>
                  <m:ctrlPr>
                    <w:rPr>
                      <w:rFonts w:ascii="Cambria Math" w:hAnsi="Cambria Math"/>
                    </w:rPr>
                  </m:ctrlPr>
                </m:sSupPr>
                <m:e>
                  <m:sSub>
                    <m:sSubPr>
                      <m:ctrlPr>
                        <w:rPr>
                          <w:rFonts w:ascii="Cambria Math" w:hAnsi="Cambria Math"/>
                        </w:rPr>
                      </m:ctrlPr>
                    </m:sSubPr>
                    <m:e>
                      <m:r>
                        <w:rPr>
                          <w:rFonts w:ascii="Cambria Math" w:hAnsi="Cambria Math"/>
                        </w:rPr>
                        <m:t>B</m:t>
                      </m:r>
                    </m:e>
                    <m:sub>
                      <m:r>
                        <m:rPr>
                          <m:nor m:val="1"/>
                        </m:rPr>
                        <w:rPr>
                          <w:rFonts w:ascii="Cambria Math" w:hAnsi="Cambria Math"/>
                        </w:rPr>
                        <m:t>k</m:t>
                      </m:r>
                    </m:sub>
                  </m:sSub>
                </m:e>
                <m:sup>
                  <m:r>
                    <m:rPr>
                      <m:nor m:val="1"/>
                    </m:rPr>
                    <w:rPr>
                      <w:rFonts w:ascii="Cambria Math" w:hAnsi="Cambria Math"/>
                    </w:rPr>
                    <m:t>′</m:t>
                  </m:r>
                </m:sup>
              </m:sSup>
              <m:r>
                <m:rPr>
                  <m:nor m:val="1"/>
                </m:rPr>
                <w:rPr>
                  <w:rFonts w:ascii="Cambria Math" w:hAnsi="Cambria Math"/>
                </w:rPr>
                <m:t xml:space="preserve"> = bbox</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m:rPr>
                          <m:nor m:val="1"/>
                        </m:rPr>
                        <w:rPr>
                          <w:rFonts w:ascii="Cambria Math" w:hAnsi="Cambria Math"/>
                        </w:rPr>
                        <m:t>k</m:t>
                      </m:r>
                    </m:sub>
                  </m:sSub>
                  <m:r>
                    <m:rPr>
                      <m:nor m:val="1"/>
                    </m:rPr>
                    <w:rPr>
                      <w:rFonts w:ascii="Cambria Math" w:hAnsi="Cambria Math"/>
                    </w:rPr>
                    <m:t xml:space="preserve"> ∩ </m:t>
                  </m:r>
                  <m:sSub>
                    <m:sSubPr>
                      <m:ctrlPr>
                        <w:rPr>
                          <w:rFonts w:ascii="Cambria Math" w:hAnsi="Cambria Math"/>
                        </w:rPr>
                      </m:ctrlPr>
                    </m:sSubPr>
                    <m:e>
                      <m:r>
                        <w:rPr>
                          <w:rFonts w:ascii="Cambria Math" w:hAnsi="Cambria Math"/>
                        </w:rPr>
                        <m:t>B</m:t>
                      </m:r>
                    </m:e>
                    <m:sub>
                      <m:r>
                        <m:rPr>
                          <m:nor m:val="1"/>
                        </m:rPr>
                        <w:rPr>
                          <w:rFonts w:ascii="Cambria Math" w:hAnsi="Cambria Math"/>
                        </w:rPr>
                        <m:t>k</m:t>
                      </m:r>
                    </m:sub>
                  </m:sSub>
                </m:e>
              </m:d>
              <m:r>
                <m:rPr>
                  <m:nor m:val="1"/>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m:rPr>
                          <m:nor m:val="1"/>
                        </m:rPr>
                        <w:rPr>
                          <w:rFonts w:ascii="Cambria Math" w:hAnsi="Cambria Math"/>
                        </w:rPr>
                        <m:t>k</m:t>
                      </m:r>
                    </m:sub>
                  </m:sSub>
                  <m:r>
                    <m:rPr>
                      <m:nor m:val="1"/>
                    </m:rPr>
                    <w:rPr>
                      <w:rFonts w:ascii="Cambria Math" w:hAnsi="Cambria Math"/>
                    </w:rPr>
                    <m:t xml:space="preserve"> ∩ </m:t>
                  </m:r>
                  <m:sSub>
                    <m:sSubPr>
                      <m:ctrlPr>
                        <w:rPr>
                          <w:rFonts w:ascii="Cambria Math" w:hAnsi="Cambria Math"/>
                        </w:rPr>
                      </m:ctrlPr>
                    </m:sSubPr>
                    <m:e>
                      <m:r>
                        <w:rPr>
                          <w:rFonts w:ascii="Cambria Math" w:hAnsi="Cambria Math"/>
                        </w:rPr>
                        <m:t>B</m:t>
                      </m:r>
                    </m:e>
                    <m:sub>
                      <m:r>
                        <m:rPr>
                          <m:nor m:val="1"/>
                        </m:rPr>
                        <w:rPr>
                          <w:rFonts w:ascii="Cambria Math" w:hAnsi="Cambria Math"/>
                        </w:rPr>
                        <m:t>k</m:t>
                      </m:r>
                    </m:sub>
                  </m:sSub>
                </m:e>
              </m:d>
              <m:r>
                <m:rPr>
                  <m:nor m:val="1"/>
                </m:rPr>
                <w:rPr>
                  <w:rFonts w:ascii="Cambria Math" w:hAnsi="Cambria Math"/>
                </w:rPr>
                <m:t xml:space="preserve"> ≥ </m:t>
              </m:r>
              <m:sSub>
                <m:sSubPr>
                  <m:ctrlPr>
                    <w:rPr>
                      <w:rFonts w:ascii="Cambria Math" w:hAnsi="Cambria Math"/>
                    </w:rPr>
                  </m:ctrlPr>
                </m:sSubPr>
                <m:e>
                  <m:r>
                    <w:rPr>
                      <w:rFonts w:ascii="Cambria Math" w:hAnsi="Cambria Math"/>
                    </w:rPr>
                    <m:t>A</m:t>
                  </m:r>
                </m:e>
                <m:sub>
                  <m:r>
                    <m:rPr>
                      <m:nor m:val="1"/>
                    </m:rPr>
                    <w:rPr>
                      <w:rFonts w:ascii="Cambria Math" w:hAnsi="Cambria Math"/>
                    </w:rPr>
                    <m:t>min</m:t>
                  </m:r>
                </m:sub>
              </m:sSub>
            </m:oMath>
          </w:p>
        </w:tc>
        <w:tc>
          <w:tcPr>
            <w:tcW w:type="dxa" w:w="400"/>
            <w:tcMar>
              <w:top w:w="0" w:type="dxa"/>
              <w:left w:w="0" w:type="dxa"/>
              <w:bottom w:w="0" w:type="dxa"/>
              <w:right w:w="0" w:type="dxa"/>
            </w:tcMar>
          </w:tcPr>
          <w:p>
            <w:pPr>
              <w:jc w:val="right"/>
            </w:pPr>
            <w:r>
              <w:t>(21)</w:t>
            </w:r>
          </w:p>
        </w:tc>
      </w:tr>
    </w:tbl>
    <w:p w14:paraId="680CF53B">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Putting the two layers together, let </w:t>
      </w:r>
      <m:oMath>
        <m:r>
          <m:rPr/>
          <w:rPr>
            <w:rFonts w:ascii="Cambria Math" w:hAnsi="Cambria Math"/>
          </w:rPr>
          <m:t>S</m:t>
        </m:r>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oMath>
      <w:r>
        <w:rPr>
          <w:rFonts w:ascii="Times New Roman" w:hAnsi="Times New Roman" w:eastAsia="Songti SC"/>
          <w:color w:val="000000"/>
          <w:sz w:val="20"/>
          <w:lang w:eastAsia="zh-CN"/>
        </w:rPr>
        <w:t>; the decision function of the general layer and the detection function of the intelligent layer are respectively:</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C825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418AA2E7">
            <w:pPr>
              <w:keepLines/>
            </w:pPr>
            <m:oMathPara>
              <m:oMath>
                <m:eqArr>
                  <m:eqArrPr>
                    <m:ctrlPr>
                      <w:rPr>
                        <w:rFonts w:ascii="Cambria Math" w:hAnsi="Cambria Math"/>
                        <w:sz w:val="17"/>
                        <w:szCs w:val="17"/>
                      </w:rPr>
                    </m:ctrlPr>
                  </m:eqArrPr>
                  <m:e>
                    <m:sSub>
                      <m:sSubPr>
                        <m:ctrlPr>
                          <w:rPr>
                            <w:rFonts w:ascii="Cambria Math" w:hAnsi="Cambria Math"/>
                            <w:sz w:val="17"/>
                            <w:szCs w:val="17"/>
                          </w:rPr>
                        </m:ctrlPr>
                      </m:sSubPr>
                      <m:e>
                        <m:r>
                          <m:rPr/>
                          <w:rPr>
                            <w:rFonts w:ascii="Cambria Math" w:hAnsi="Cambria Math"/>
                            <w:sz w:val="17"/>
                            <w:szCs w:val="17"/>
                          </w:rPr>
                          <m:t>g</m:t>
                        </m:r>
                        <m:ctrlPr>
                          <w:rPr>
                            <w:rFonts w:ascii="Cambria Math" w:hAnsi="Cambria Math"/>
                            <w:sz w:val="17"/>
                            <w:szCs w:val="17"/>
                          </w:rPr>
                        </m:ctrlPr>
                      </m:e>
                      <m:sub>
                        <m:r>
                          <m:rPr>
                            <m:nor/>
                            <m:sty m:val="p"/>
                          </m:rPr>
                          <w:rPr>
                            <w:rFonts w:ascii="Cambria Math" w:hAnsi="Cambria Math"/>
                            <w:b w:val="0"/>
                            <w:i w:val="0"/>
                            <w:sz w:val="17"/>
                            <w:szCs w:val="17"/>
                          </w:rPr>
                          <m:t>G</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r>
                      <m:rPr>
                        <m:nor/>
                        <m:sty m:val="p"/>
                      </m:rPr>
                      <w:rPr>
                        <w:rFonts w:ascii="Cambria Math" w:hAnsi="Cambria Math"/>
                        <w:b w:val="0"/>
                        <w:i w:val="0"/>
                        <w:sz w:val="17"/>
                        <w:szCs w:val="17"/>
                      </w:rPr>
                      <m:t>=1</m:t>
                    </m:r>
                    <m:d>
                      <m:dPr>
                        <m:begChr m:val="["/>
                        <m:endChr m:val="]"/>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S</m:t>
                            </m:r>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ctrlPr>
                              <w:rPr>
                                <w:rFonts w:ascii="Cambria Math" w:hAnsi="Cambria Math"/>
                                <w:sz w:val="17"/>
                                <w:szCs w:val="17"/>
                              </w:rPr>
                            </m:ctrlPr>
                          </m:e>
                        </m:d>
                        <m:r>
                          <m:rPr>
                            <m:nor/>
                            <m:sty m:val="p"/>
                          </m:rPr>
                          <w:rPr>
                            <w:rFonts w:ascii="Cambria Math" w:hAnsi="Cambria Math"/>
                            <w:b w:val="0"/>
                            <w:i w:val="0"/>
                            <w:sz w:val="17"/>
                            <w:szCs w:val="17"/>
                          </w:rPr>
                          <m:t>≥</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d>
                    <m:r>
                      <m:rPr>
                        <m:nor/>
                        <m:sty m:val="p"/>
                      </m:rPr>
                      <w:rPr>
                        <w:rFonts w:ascii="Cambria Math" w:hAnsi="Cambria Math"/>
                        <w:b w:val="0"/>
                        <w:i w:val="0"/>
                        <w:sz w:val="17"/>
                        <w:szCs w:val="17"/>
                      </w:rPr>
                      <m:t>,</m:t>
                    </m:r>
                    <m:ctrlPr>
                      <w:rPr>
                        <w:rFonts w:ascii="Cambria Math" w:hAnsi="Cambria Math"/>
                        <w:sz w:val="17"/>
                        <w:szCs w:val="17"/>
                      </w:rPr>
                    </m:ctrlPr>
                  </m:e>
                  <m:e>
                    <m:sSub>
                      <m:sSubPr>
                        <m:ctrlPr>
                          <w:rPr>
                            <w:rFonts w:ascii="Cambria Math" w:hAnsi="Cambria Math"/>
                            <w:sz w:val="17"/>
                            <w:szCs w:val="17"/>
                          </w:rPr>
                        </m:ctrlPr>
                      </m:sSubPr>
                      <m:e>
                        <m:r>
                          <m:rPr/>
                          <w:rPr>
                            <w:rFonts w:ascii="Cambria Math" w:hAnsi="Cambria Math"/>
                            <w:sz w:val="17"/>
                            <w:szCs w:val="17"/>
                          </w:rPr>
                          <m:t>g</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r>
                      <m:rPr>
                        <m:nor/>
                        <m:sty m:val="p"/>
                      </m:rPr>
                      <w:rPr>
                        <w:rFonts w:ascii="Cambria Math" w:hAnsi="Cambria Math"/>
                        <w:b w:val="0"/>
                        <w:i w:val="0"/>
                        <w:sz w:val="17"/>
                        <w:szCs w:val="17"/>
                      </w:rPr>
                      <m:t>=</m:t>
                    </m:r>
                    <m:sSub>
                      <m:sSubPr>
                        <m:ctrlPr>
                          <w:rPr>
                            <w:rFonts w:ascii="Cambria Math" w:hAnsi="Cambria Math"/>
                            <w:sz w:val="17"/>
                            <w:szCs w:val="17"/>
                          </w:rPr>
                        </m:ctrlPr>
                      </m:sSubPr>
                      <m:e>
                        <m:r>
                          <m:rPr/>
                          <w:rPr>
                            <w:rFonts w:ascii="Cambria Math" w:hAnsi="Cambria Math"/>
                            <w:sz w:val="17"/>
                            <w:szCs w:val="17"/>
                          </w:rPr>
                          <m:t>F</m:t>
                        </m:r>
                        <m:ctrlPr>
                          <w:rPr>
                            <w:rFonts w:ascii="Cambria Math" w:hAnsi="Cambria Math"/>
                            <w:sz w:val="17"/>
                            <w:szCs w:val="17"/>
                          </w:rPr>
                        </m:ctrlPr>
                      </m:e>
                      <m:sub>
                        <m:r>
                          <m:rPr/>
                          <w:rPr>
                            <w:rFonts w:ascii="Cambria Math" w:hAnsi="Cambria Math"/>
                            <w:sz w:val="17"/>
                            <w:szCs w:val="17"/>
                          </w:rPr>
                          <m:t>θ</m:t>
                        </m:r>
                        <m:ctrlPr>
                          <w:rPr>
                            <w:rFonts w:ascii="Cambria Math" w:hAnsi="Cambria Math"/>
                            <w:sz w:val="17"/>
                            <w:szCs w:val="17"/>
                          </w:rPr>
                        </m:ctrlPr>
                      </m:sub>
                    </m:sSub>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S</m:t>
                            </m:r>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ctrlPr>
                              <w:rPr>
                                <w:rFonts w:ascii="Cambria Math" w:hAnsi="Cambria Math"/>
                                <w:sz w:val="17"/>
                                <w:szCs w:val="17"/>
                              </w:rPr>
                            </m:ctrlPr>
                          </m:e>
                        </m:d>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ctrlPr>
                          <w:rPr>
                            <w:rFonts w:ascii="Cambria Math" w:hAnsi="Cambria Math"/>
                            <w:sz w:val="17"/>
                            <w:szCs w:val="17"/>
                          </w:rPr>
                        </m:ctrlPr>
                      </m:e>
                    </m:d>
                    <m:ctrlPr>
                      <w:rPr>
                        <w:rFonts w:ascii="Cambria Math" w:hAnsi="Cambria Math"/>
                        <w:sz w:val="17"/>
                        <w:szCs w:val="17"/>
                      </w:rPr>
                    </m:ctrlPr>
                  </m:e>
                </m:eqArr>
              </m:oMath>
            </m:oMathPara>
          </w:p>
        </w:tc>
        <w:tc>
          <w:tcPr>
            <w:tcW w:w="400" w:type="dxa"/>
            <w:tcMar>
              <w:top w:w="0" w:type="dxa"/>
              <w:left w:w="0" w:type="dxa"/>
              <w:bottom w:w="0" w:type="dxa"/>
              <w:right w:w="0" w:type="dxa"/>
            </w:tcMar>
          </w:tcPr>
          <w:p w14:paraId="5A57947E">
            <w:pPr>
              <w:keepLines/>
            </w:pPr>
            <w:r>
              <w:t>(22)</w:t>
            </w:r>
          </w:p>
        </w:tc>
      </w:tr>
    </w:tbl>
    <w:p w14:paraId="50CA7F6E">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oMath>
      <w:r>
        <w:rPr>
          <w:rFonts w:ascii="Times New Roman" w:hAnsi="Times New Roman" w:eastAsia="Songti SC"/>
          <w:color w:val="000000"/>
          <w:sz w:val="20"/>
          <w:lang w:eastAsia="zh-CN"/>
        </w:rPr>
        <w:t xml:space="preserve"> is the deep detector parameterized by </w:t>
      </w:r>
      <m:oMath>
        <m:r>
          <m:rPr/>
          <w:rPr>
            <w:rFonts w:ascii="Cambria Math" w:hAnsi="Cambria Math"/>
          </w:rPr>
          <m:t>θ</m:t>
        </m:r>
      </m:oMath>
      <w:r>
        <w:rPr>
          <w:rFonts w:ascii="Times New Roman" w:hAnsi="Times New Roman" w:eastAsia="Songti SC"/>
          <w:color w:val="000000"/>
          <w:sz w:val="20"/>
          <w:lang w:eastAsia="zh-CN"/>
        </w:rPr>
        <w:t>. The deep layer decides where to look and the explicit layer decides what is a ship pixel, so the detection inherits both the robustness of the learned model and the precision and traceability of the closed-form operator. Either layer can be used alone, or use the intelligent layer to screen the scene and the general layer to refine every candidate.</w:t>
      </w:r>
    </w:p>
    <w:p w14:paraId="7719A9ED">
      <w:pPr>
        <w:pStyle w:val="2"/>
        <w:rPr>
          <w:color w:val="000000"/>
        </w:rPr>
      </w:pPr>
      <w:r>
        <w:rPr>
          <w:rFonts w:ascii="Times New Roman" w:hAnsi="Times New Roman" w:eastAsia="Songti SC"/>
          <w:sz w:val="20"/>
        </w:rPr>
        <w:t xml:space="preserve">III. </w:t>
      </w:r>
      <w:r>
        <w:rPr>
          <w:rFonts w:hint="eastAsia" w:eastAsia="Songti SC" w:ascii="Times New Roman" w:hAnsi="Times New Roman"/>
          <w:sz w:val="20"/>
          <w:lang w:eastAsia="zh-CN"/>
        </w:rPr>
        <w:t>EXPERIMENTAL RESULTS AND ANALYSIS</w:t>
      </w:r>
    </w:p>
    <w:p w14:paraId="66E8346C">
      <w:pPr>
        <w:pStyle w:val="3"/>
        <w:numPr>
          <w:ilvl w:val="0"/>
          <w:numId w:val="0"/>
        </w:numPr>
      </w:pPr>
      <w:r>
        <w:rPr>
          <w:rFonts w:ascii="Times New Roman" w:hAnsi="Times New Roman" w:eastAsia="Songti SC"/>
          <w:sz w:val="20"/>
        </w:rPr>
        <w:t>A. Experimental Setup</w:t>
      </w:r>
    </w:p>
    <w:p w14:paraId="338039D4">
      <w:pPr>
        <w:widowControl w:val="0"/>
        <w:spacing w:line="252" w:lineRule="auto"/>
        <w:ind w:firstLine="202"/>
        <w:jc w:val="both"/>
        <w:rPr>
          <w:color w:val="000000"/>
        </w:rPr>
      </w:pPr>
      <w:r>
        <w:rPr>
          <w:rFonts w:ascii="Times New Roman" w:hAnsi="Times New Roman" w:eastAsia="Songti SC"/>
          <w:sz w:val="20"/>
        </w:rPr>
        <w:t>To validate the effectiveness of the proposed method, experiments are conducted on the PSDD dataset [51]. A dedicated benchmark study of this dataset [52] evaluated six polarization characteristics across ten CNN architectures, providing a solid baseline for performance comparison. This dataset contains fully polarimetric data from three platforms: C-band GF-3 satellite data (with a resolution of 3–8 m), L-band AIRSAR airborne system data (with a resolution of 5–12 m), and C-band Radarsat-2 satellite data (with a resolution of 3–10 m). The scenarios cover typical operating conditions including calm sea surfaces, moderate sea states, and inshore harbors, with 1,968 annotated ship targets of various types in the 23 scenes used here. After Yamaguchi decomposition and pixel-level mask construction, 270,423 pixel samples are obtained, with a positive-to-negative sample ratio of 1:2. A third-party IPSD dataset [23] is used only for the cross-sensor check in Section IV-C. The settings are listed in Table I.</w:t>
      </w:r>
    </w:p>
    <w:p>
      <w:pPr>
        <w:widowControl w:val="0"/>
        <w:spacing w:line="252" w:lineRule="auto"/>
        <w:ind w:firstLine="202"/>
        <w:jc w:val="both"/>
        <w:rPr>
          <w:color w:val="000000"/>
        </w:rPr>
        <w:keepNext/>
      </w:pPr>
      <w:r>
        <w:rPr>
          <w:rFonts w:ascii="Times New Roman" w:hAnsi="Times New Roman" w:eastAsia="Songti SC"/>
          <w:sz w:val="20"/>
        </w:rPr>
        <w:t xml:space="preserve">TABLE I</w:t>
      </w:r>
      <w:r>
        <w:rPr>
          <w:rFonts w:ascii="Times New Roman" w:hAnsi="Times New Roman" w:eastAsia="Songti SC"/>
          <w:sz w:val="20"/>
        </w:rPr>
        <w:br/>
      </w:r>
      <w:r>
        <w:rPr>
          <w:rFonts w:ascii="Times New Roman" w:hAnsi="Times New Roman" w:eastAsia="Songti SC"/>
          <w:b w:val="0"/>
          <w:sz w:val="20"/>
        </w:rPr>
        <w:t>Experimental Settings</w:t>
      </w:r>
    </w:p>
    <w:tbl>
      <w:tblPr>
        <w:tblW w:type="auto" w:w="0"/>
        <w:tblLayout w:type="fixed"/>
        <w:tblLook w:firstColumn="1" w:firstRow="1" w:lastColumn="0" w:lastRow="0" w:noHBand="0" w:noVBand="1" w:val="04A0"/>
        <w:tblLayout w:type="fixed"/>
        <w:tblW w:w="4998" w:type="dxa"/>
      </w:tblPr>
      <w:tblGrid>
        <w:gridCol w:w="1500"/>
        <w:gridCol w:w="3498"/>
      </w:tblGrid>
      <w:tr>
        <w:trPr>
          <w:cantSplit/>
        </w:trPr>
        <w:tc>
          <w:tcPr>
            <w:tcW w:type="dxa" w:w="1500"/>
          </w:tcPr>
          <w:p>
            <w:r>
              <w:rPr>
                <w:b/>
              </w:rPr>
              <w:t>Setting</w:t>
            </w:r>
          </w:p>
        </w:tc>
        <w:tc>
          <w:tcPr>
            <w:tcW w:type="dxa" w:w="3498"/>
          </w:tcPr>
          <w:p>
            <w:r>
              <w:rPr>
                <w:b/>
              </w:rPr>
              <w:t>Configuration</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Dataset</w:t>
            </w:r>
          </w:p>
        </w:tc>
        <w:tc>
          <w:tcPr>
            <w:tcW w:type="dxa" w:w="3498"/>
          </w:tcPr>
          <w:p>
            <w:pPr>
              <w:spacing w:before="0" w:after="0" w:line="240" w:lineRule="auto"/>
              <w:jc w:val="left"/>
            </w:pPr>
            <w:r/>
            <w:r>
              <w:rPr>
                <w:rFonts w:ascii="Times New Roman" w:hAnsi="Times New Roman" w:eastAsia="Songti SC"/>
                <w:b w:val="0"/>
                <w:i w:val="0"/>
                <w:color w:val="000000"/>
                <w:sz w:val="15"/>
              </w:rPr>
              <w:t>PSDD [51], [52]; 23 scenes, 1,968 ships, 1,357 tiles, 2,577 boxes; 270,423 pixels, 1:2 positive/negative</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Teacher MLP</w:t>
            </w:r>
          </w:p>
        </w:tc>
        <w:tc>
          <w:tcPr>
            <w:tcW w:type="dxa" w:w="3498"/>
          </w:tcPr>
          <w:p>
            <w:pPr>
              <w:spacing w:before="0" w:after="0" w:line="240" w:lineRule="auto"/>
              <w:jc w:val="left"/>
            </w:pPr>
            <w:r/>
            <w:r>
              <w:rPr>
                <w:rFonts w:ascii="Times New Roman" w:hAnsi="Times New Roman" w:eastAsia="Songti SC"/>
                <w:b w:val="0"/>
                <w:i w:val="0"/>
                <w:color w:val="000000"/>
                <w:sz w:val="15"/>
              </w:rPr>
              <w:t>3-64-64-1, ReLU hidden, Sigmoid output, BCE loss, Adam, lr 1e-3, batch 256, 100 epochs</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Symbolic regression</w:t>
            </w:r>
          </w:p>
        </w:tc>
        <w:tc>
          <w:tcPr>
            <w:tcW w:type="dxa" w:w="3498"/>
          </w:tcPr>
          <w:p>
            <w:pPr>
              <w:spacing w:before="0" w:after="0" w:line="240" w:lineRule="auto"/>
              <w:jc w:val="left"/>
            </w:pPr>
            <w:r/>
            <w:r>
              <w:rPr>
                <w:rFonts w:ascii="Times New Roman" w:hAnsi="Times New Roman" w:eastAsia="Songti SC"/>
                <w:b w:val="0"/>
                <w:i w:val="0"/>
                <w:color w:val="000000"/>
                <w:sz w:val="15"/>
              </w:rPr>
              <w:t>NSGA-II + genetic programming; 100 populations x 27 individuals; 300 generations; 30-node cap; nesting depth &lt;= 5; Brent constant refinement; 7 runs, 5 converged</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YOLO detectors</w:t>
            </w:r>
          </w:p>
        </w:tc>
        <w:tc>
          <w:tcPr>
            <w:tcW w:type="dxa" w:w="3498"/>
          </w:tcPr>
          <w:p>
            <w:pPr>
              <w:spacing w:before="0" w:after="0" w:line="240" w:lineRule="auto"/>
              <w:jc w:val="left"/>
            </w:pPr>
            <w:r/>
            <w:r>
              <w:rPr>
                <w:rFonts w:ascii="Times New Roman" w:hAnsi="Times New Roman" w:eastAsia="Songti SC"/>
                <w:b w:val="0"/>
                <w:i w:val="0"/>
                <w:color w:val="000000"/>
                <w:sz w:val="15"/>
              </w:rPr>
              <w:t>Ultralytics; 640 x 640; batch 8; AdamW; 300 epochs (three-channel), 200 epochs (single-channel)</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Hardware</w:t>
            </w:r>
          </w:p>
        </w:tc>
        <w:tc>
          <w:tcPr>
            <w:tcW w:type="dxa" w:w="3498"/>
          </w:tcPr>
          <w:p>
            <w:pPr>
              <w:spacing w:before="0" w:after="0" w:line="240" w:lineRule="auto"/>
              <w:jc w:val="left"/>
            </w:pPr>
            <w:r/>
            <w:r>
              <w:rPr>
                <w:rFonts w:ascii="Times New Roman" w:hAnsi="Times New Roman" w:eastAsia="Songti SC"/>
                <w:b w:val="0"/>
                <w:i w:val="0"/>
                <w:color w:val="000000"/>
                <w:sz w:val="15"/>
              </w:rPr>
              <w:t>RTX 4060 Laptop 8 GB; i9-13980HX; 16 GB RAM; Python 3.9 and PyTorch</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Metrics</w:t>
            </w:r>
          </w:p>
        </w:tc>
        <w:tc>
          <w:tcPr>
            <w:tcW w:type="dxa" w:w="3498"/>
          </w:tcPr>
          <w:p>
            <w:pPr>
              <w:spacing w:before="0" w:after="0" w:line="240" w:lineRule="auto"/>
              <w:jc w:val="left"/>
            </w:pPr>
            <w:r/>
            <w:r>
              <w:rPr>
                <w:rFonts w:ascii="Times New Roman" w:hAnsi="Times New Roman" w:eastAsia="Songti SC"/>
                <w:b w:val="0"/>
                <w:i w:val="0"/>
                <w:color w:val="000000"/>
                <w:sz w:val="15"/>
              </w:rPr>
              <w:t>Pixel: precision, recall, F1, IoU, AUC, TCR. Target: precision, recall, mAP@0.5, F1</w:t>
            </w:r>
          </w:p>
        </w:tc>
      </w:tr>
    </w:tbl>
    <w:p w14:paraId="233DFA19">
      <w:pPr>
        <w:widowControl w:val="0"/>
        <w:spacing w:line="252" w:lineRule="auto"/>
        <w:ind w:firstLine="202"/>
        <w:jc w:val="both"/>
        <w:rPr>
          <w:color w:val="000000"/>
        </w:rPr>
      </w:pPr>
      <w:r>
        <w:rPr>
          <w:rFonts w:ascii="Times New Roman" w:hAnsi="Times New Roman" w:eastAsia="Songti SC"/>
          <w:sz w:val="20"/>
        </w:rPr>
        <w:t>For pixel-level tasks, performance is evaluated using accuracy, F1-score and AUC; for target-level tasks, precision, recall, mAP@0.5 and mAP@0.5:0.95. The comparison covers four YOLO variants: YOLOv8n, YOLOv11n, YOLOv12n and YOLO26 [53], [63]. One/two-stage MMDetection detectors (RetinaNet [55], SSD [56], PAA [57], Faster R-CNN [58]), FCOS [54], Cascade R-CNN [59], rotation-invariant designs [60] and interpretable classification networks [61] are outside this comparison; in particular, the MMDetection runs could not be reproduced with matched training budgets, so cross-family generality is not claimed. All YOLO detectors use 640×640 input, batch 8, AdamW, and 300 epochs for three-channel inputs or 200 epochs for single-channel inputs; they are trained with the released single-class protocol. Experiments run on a workstation with an RTX 4060 Laptop GPU, an i9-13980HX CPU and 16 GB RAM, using Python 3.9 and PyTorch.</w:t>
      </w:r>
    </w:p>
    <w:p w14:paraId="120293A3">
      <w:pPr>
        <w:pStyle w:val="3"/>
        <w:numPr>
          <w:ilvl w:val="0"/>
          <w:numId w:val="0"/>
        </w:numPr>
      </w:pPr>
      <w:r>
        <w:rPr>
          <w:rFonts w:ascii="Times New Roman" w:hAnsi="Times New Roman" w:eastAsia="Songti SC"/>
          <w:sz w:val="20"/>
        </w:rPr>
        <w:t>B. Performance Verification of Intermediate Products</w:t>
      </w:r>
    </w:p>
    <w:p w14:paraId="3C7EB1B5">
      <w:pPr>
        <w:pStyle w:val="37"/>
      </w:pPr>
      <w:r>
        <w:rPr>
          <w:rFonts w:ascii="Times New Roman" w:hAnsi="Times New Roman" w:eastAsia="Songti SC"/>
          <w:sz w:val="20"/>
        </w:rPr>
        <w:t>The teacher MLP achieves an accuracy of 95.84%, an F1-score of 0.9413, and an AUC of 0.9881 on the test set. The training and validation losses converge smoothly after approximately 50 epochs, with no obvious overfitting. The t-SNE visualization results show that the soft labels of ship pixels are concentrated in the [0.8, 1.0] interval, while those of sea surface pixels cluster in the [0.0, 0.3] interval, and the boundary region exhibits a smooth gradient transition from 0.3 to 0.8.</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819355"/>
                  <wp:docPr id="6" name="Picture 6"/>
                  <wp:cNvGraphicFramePr>
                    <a:graphicFrameLocks noChangeAspect="1"/>
                  </wp:cNvGraphicFramePr>
                  <a:graphic>
                    <a:graphicData uri="http://schemas.openxmlformats.org/drawingml/2006/picture">
                      <pic:pic>
                        <pic:nvPicPr>
                          <pic:cNvPr id="0" name="fig07.png"/>
                          <pic:cNvPicPr/>
                        </pic:nvPicPr>
                        <pic:blipFill>
                          <a:blip r:embed="rId141"/>
                          <a:stretch>
                            <a:fillRect/>
                          </a:stretch>
                        </pic:blipFill>
                        <pic:spPr>
                          <a:xfrm>
                            <a:off x="0" y="0"/>
                            <a:ext cx="2971800" cy="819355"/>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7. Soft-label generation and teacher output: (a) hard labels, (b) soft labels, (c) teacher-output distribution.</w:t>
            </w:r>
          </w:p>
        </w:tc>
      </w:tr>
    </w:tbl>
    <w:p w14:paraId="5009A4B3">
      <w:pPr>
        <w:pStyle w:val="37"/>
      </w:pPr>
      <w:r>
        <w:rPr>
          <w:rFonts w:ascii="Times New Roman" w:hAnsi="Times New Roman" w:eastAsia="Songti SC"/>
          <w:b w:val="0"/>
          <w:i w:val="0"/>
          <w:sz w:val="20"/>
        </w:rPr>
        <w:t xml:space="preserve">The soft labels form a continuously transitioning probability surface that separates the ship core, the boundary band and the pure sea, providing high-quality supervision for the symbolic regression (Fig. 7). The search over the full operator set yields a typical L-shaped Pareto front (Fig. 8). At complexity 1–3, the expressions are constants or univariate functions, with MSE above 0.10; at complexity 4–6, the MSE drops from 0.0768 to 0.0228 (70.3%), and the optimal low-complexity expression lies in this interval, corresponding to an exponential function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with complexity 6. From 7 to 15 the gain flattens and </w:t>
      </w:r>
      <w:r>
        <w:rPr>
          <w:rFonts w:ascii="Times New Roman" w:hAnsi="Times New Roman" w:eastAsia="Songti SC"/>
          <w:b w:val="0"/>
          <w:i/>
          <w:sz w:val="20"/>
        </w:rPr>
        <w:t>P</w:t>
      </w:r>
      <w:r>
        <w:rPr>
          <w:rFonts w:ascii="Times New Roman" w:hAnsi="Times New Roman" w:eastAsia="Songti SC"/>
          <w:b w:val="0"/>
          <w:i/>
          <w:sz w:val="20"/>
          <w:vertAlign w:val="subscript"/>
        </w:rPr>
        <w:t>s</w:t>
      </w:r>
      <w:r>
        <w:rPr>
          <w:rFonts w:ascii="Times New Roman" w:hAnsi="Times New Roman" w:eastAsia="Songti SC"/>
          <w:b w:val="0"/>
          <w:i w:val="0"/>
          <w:sz w:val="20"/>
        </w:rPr>
        <w:t xml:space="preserve"> enters to compensate the residual; above 16 the accuracy is nearly saturated. Table II summarizes the optimal expressions at each complexity.</w:t>
      </w:r>
    </w:p>
    <w:p w14:paraId="7069C13C">
      <w:pPr>
        <w:pStyle w:val="37"/>
      </w:pPr>
    </w:p>
    <w:p w14:paraId="708F033B">
      <w:pPr>
        <w:keepNext/>
        <w:widowControl w:val="0"/>
        <w:spacing w:line="252" w:lineRule="auto"/>
        <w:ind w:firstLine="202"/>
        <w:jc w:val="center"/>
      </w:pPr>
      <w:r>
        <w:rPr>
          <w:rFonts w:ascii="Times New Roman" w:hAnsi="Times New Roman" w:eastAsia="Songti SC"/>
          <w:b w:val="0"/>
          <w:i w:val="0"/>
          <w:color w:val="000000"/>
          <w:sz w:val="20"/>
        </w:rPr>
        <w:t>TABLE II</w:t>
      </w:r>
      <w:r>
        <w:rPr>
          <w:rFonts w:ascii="Times New Roman" w:hAnsi="Times New Roman" w:eastAsia="Songti SC"/>
          <w:sz w:val="20"/>
        </w:rPr>
        <w:br/>
      </w:r>
      <w:r>
        <w:rPr>
          <w:rFonts w:ascii="Times New Roman" w:hAnsi="Times New Roman" w:eastAsia="Songti SC"/>
          <w:b w:val="0"/>
          <w:sz w:val="20"/>
        </w:rPr>
        <w:t>Performance of Optimal Expressions at Different Complexities</w:t>
      </w:r>
    </w:p>
    <w:tbl>
      <w:tblPr>
        <w:tblStyle w:val="2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662"/>
        <w:gridCol w:w="912"/>
        <w:gridCol w:w="3429"/>
      </w:tblGrid>
      <w:tr w14:paraId="671B87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i w:val="0"/>
                <w:color w:val="000000"/>
                <w:sz w:val="15"/>
              </w:rPr>
              <w:t>Complexity</w:t>
            </w:r>
          </w:p>
        </w:tc>
        <w:tc>
          <w:tcPr>
            <w:tcW w:w="91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i w:val="0"/>
                <w:color w:val="000000"/>
                <w:sz w:val="15"/>
              </w:rPr>
              <w:t>Loss (MSE)</w:t>
            </w:r>
          </w:p>
        </w:tc>
        <w:tc>
          <w:tcPr>
            <w:tcW w:w="3429"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i w:val="0"/>
                <w:color w:val="000000"/>
                <w:sz w:val="15"/>
              </w:rPr>
              <w:t>Expression</w:t>
            </w:r>
          </w:p>
        </w:tc>
      </w:tr>
      <w:tr w14:paraId="614CD1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tcBorders>
              <w:top w:val="single" w:color="000000" w:sz="4" w:space="0"/>
            </w:tcBorders>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1</w:t>
            </w:r>
          </w:p>
        </w:tc>
        <w:tc>
          <w:tcPr>
            <w:tcW w:w="912" w:type="dxa"/>
            <w:tcBorders>
              <w:top w:val="single" w:color="000000" w:sz="4" w:space="0"/>
            </w:tcBorders>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0.1779</w:t>
            </w:r>
          </w:p>
        </w:tc>
        <w:tc>
          <w:tcPr>
            <w:tcW w:w="3429" w:type="dxa"/>
            <w:tcBorders>
              <w:top w:val="single" w:color="000000" w:sz="4" w:space="0"/>
            </w:tcBorders>
            <w:shd w:val="clear" w:color="auto" w:fill="FFFFFF"/>
            <w:tcMar>
              <w:top w:w="100" w:type="dxa"/>
              <w:left w:w="160" w:type="dxa"/>
              <w:bottom w:w="100" w:type="dxa"/>
              <w:right w:w="0" w:type="dxa"/>
            </w:tcMar>
            <w:vAlign w:val="center"/>
          </w:tcPr>
          <w:p>
            <w:pPr>
              <w:spacing w:before="0" w:after="0" w:line="240" w:lineRule="auto"/>
              <w:jc w:val="center"/>
            </w:pPr>
            <w:r/>
            <w:r>
              <w:rPr>
                <w:rFonts w:ascii="Times New Roman" w:hAnsi="Times New Roman" w:eastAsia="Songti SC"/>
                <w:b w:val="0"/>
                <w:i w:val="0"/>
                <w:color w:val="000000"/>
                <w:sz w:val="14"/>
              </w:rPr>
              <w:t>0.3319</w:t>
            </w:r>
          </w:p>
        </w:tc>
      </w:tr>
      <w:tr w14:paraId="7B9BD2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3</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0.1087</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Times New Roman"/>
                <w:b w:val="0"/>
                <w:i w:val="0"/>
                <w:sz w:val="14"/>
              </w:rPr>
              <w:t>sqrt(sqrt(</w:t>
            </w:r>
            <w:r>
              <w:rPr>
                <w:rFonts w:ascii="Times New Roman" w:hAnsi="Times New Roman" w:eastAsia="Times New Roman"/>
                <w:b w:val="0"/>
                <w:i/>
                <w:sz w:val="14"/>
              </w:rPr>
              <w:t>P</w:t>
            </w:r>
            <w:r>
              <w:rPr>
                <w:rFonts w:ascii="Times New Roman" w:hAnsi="Times New Roman" w:eastAsia="Times New Roman"/>
                <w:b w:val="0"/>
                <w:i/>
                <w:sz w:val="14"/>
                <w:vertAlign w:val="subscript"/>
              </w:rPr>
              <w:t>v</w:t>
            </w:r>
            <w:r>
              <w:rPr>
                <w:rFonts w:ascii="Times New Roman" w:hAnsi="Times New Roman" w:eastAsia="Times New Roman"/>
                <w:b w:val="0"/>
                <w:i w:val="0"/>
                <w:sz w:val="14"/>
              </w:rPr>
              <w:t>))</w:t>
            </w:r>
          </w:p>
        </w:tc>
      </w:tr>
      <w:tr w14:paraId="1E21D8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4</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0.0768</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Times New Roman"/>
                <w:b w:val="0"/>
                <w:i w:val="0"/>
                <w:sz w:val="14"/>
              </w:rPr>
              <w:t>exp(-0.1095/</w:t>
            </w:r>
            <w:r>
              <w:rPr>
                <w:rFonts w:ascii="Times New Roman" w:hAnsi="Times New Roman" w:eastAsia="Times New Roman"/>
                <w:b w:val="0"/>
                <w:i/>
                <w:sz w:val="14"/>
              </w:rPr>
              <w:t>P</w:t>
            </w:r>
            <w:r>
              <w:rPr>
                <w:rFonts w:ascii="Times New Roman" w:hAnsi="Times New Roman" w:eastAsia="Times New Roman"/>
                <w:b w:val="0"/>
                <w:i/>
                <w:sz w:val="14"/>
                <w:vertAlign w:val="subscript"/>
              </w:rPr>
              <w:t>m</w:t>
            </w:r>
            <w:r>
              <w:rPr>
                <w:rFonts w:ascii="Times New Roman" w:hAnsi="Times New Roman" w:eastAsia="Times New Roman"/>
                <w:b w:val="0"/>
                <w:i w:val="0"/>
                <w:sz w:val="14"/>
              </w:rPr>
              <w:t>)</w:t>
            </w:r>
          </w:p>
        </w:tc>
      </w:tr>
      <w:tr w14:paraId="449EFE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6</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0.0228</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Times New Roman"/>
                <w:b w:val="0"/>
                <w:i w:val="0"/>
                <w:sz w:val="14"/>
              </w:rPr>
              <w:t>exp(-0.2043/(</w:t>
            </w:r>
            <w:r>
              <w:rPr>
                <w:rFonts w:ascii="Times New Roman" w:hAnsi="Times New Roman" w:eastAsia="Times New Roman"/>
                <w:b w:val="0"/>
                <w:i/>
                <w:sz w:val="14"/>
              </w:rPr>
              <w:t>P</w:t>
            </w:r>
            <w:r>
              <w:rPr>
                <w:rFonts w:ascii="Times New Roman" w:hAnsi="Times New Roman" w:eastAsia="Times New Roman"/>
                <w:b w:val="0"/>
                <w:i/>
                <w:sz w:val="14"/>
                <w:vertAlign w:val="subscript"/>
              </w:rPr>
              <w:t>m</w:t>
            </w:r>
            <w:r>
              <w:rPr>
                <w:rFonts w:ascii="Times New Roman" w:hAnsi="Times New Roman" w:eastAsia="Times New Roman"/>
                <w:b w:val="0"/>
                <w:i w:val="0"/>
                <w:sz w:val="14"/>
              </w:rPr>
              <w:t>+</w:t>
            </w:r>
            <w:r>
              <w:rPr>
                <w:rFonts w:ascii="Times New Roman" w:hAnsi="Times New Roman" w:eastAsia="Times New Roman"/>
                <w:b w:val="0"/>
                <w:i/>
                <w:sz w:val="14"/>
              </w:rPr>
              <w:t>P</w:t>
            </w:r>
            <w:r>
              <w:rPr>
                <w:rFonts w:ascii="Times New Roman" w:hAnsi="Times New Roman" w:eastAsia="Times New Roman"/>
                <w:b w:val="0"/>
                <w:i/>
                <w:sz w:val="14"/>
                <w:vertAlign w:val="subscript"/>
              </w:rPr>
              <w:t>v</w:t>
            </w:r>
            <w:r>
              <w:rPr>
                <w:rFonts w:ascii="Times New Roman" w:hAnsi="Times New Roman" w:eastAsia="Times New Roman"/>
                <w:b w:val="0"/>
                <w:i w:val="0"/>
                <w:sz w:val="14"/>
              </w:rPr>
              <w:t>))</w:t>
            </w:r>
          </w:p>
        </w:tc>
      </w:tr>
      <w:tr>
        <w:trPr>
          <w:cantSplit/>
        </w:trPr>
        <w:tc>
          <w:tcPr>
            <w:tcW w:type="dxa" w:w="662"/>
          </w:tcPr>
          <w:p>
            <w:pPr>
              <w:spacing w:before="0" w:after="0" w:line="240" w:lineRule="auto"/>
              <w:jc w:val="center"/>
            </w:pPr>
            <w:r/>
            <w:r>
              <w:rPr>
                <w:rFonts w:ascii="Times New Roman" w:hAnsi="Times New Roman" w:eastAsia="Songti SC"/>
                <w:b w:val="0"/>
                <w:i w:val="0"/>
                <w:color w:val="000000"/>
                <w:sz w:val="15"/>
              </w:rPr>
              <w:t>13</w:t>
            </w:r>
          </w:p>
        </w:tc>
        <w:tc>
          <w:tcPr>
            <w:tcW w:type="dxa" w:w="912"/>
          </w:tcPr>
          <w:p>
            <w:pPr>
              <w:spacing w:before="0" w:after="0" w:line="240" w:lineRule="auto"/>
              <w:jc w:val="center"/>
            </w:pPr>
            <w:r/>
            <w:r>
              <w:rPr>
                <w:rFonts w:ascii="Times New Roman" w:hAnsi="Times New Roman" w:eastAsia="Songti SC"/>
                <w:b w:val="0"/>
                <w:i w:val="0"/>
                <w:color w:val="000000"/>
                <w:sz w:val="15"/>
              </w:rPr>
              <w:t>0.0125</w:t>
            </w:r>
          </w:p>
        </w:tc>
        <w:tc>
          <w:tcPr>
            <w:tcW w:type="dxa" w:w="3429"/>
          </w:tcPr>
          <w:p>
            <w:pPr>
              <w:jc w:val="center"/>
            </w:pPr>
            <w:r>
              <w:rPr>
                <w:rFonts w:ascii="Times New Roman" w:hAnsi="Times New Roman" w:eastAsia="Times New Roman"/>
                <w:b w:val="0"/>
                <w:i w:val="0"/>
                <w:sz w:val="15"/>
              </w:rPr>
              <w:t>cos(</w:t>
            </w:r>
            <w:r>
              <w:rPr>
                <w:rFonts w:ascii="Times New Roman" w:hAnsi="Times New Roman" w:eastAsia="Times New Roman"/>
                <w:b w:val="0"/>
                <w:i/>
                <w:sz w:val="15"/>
              </w:rPr>
              <w:t>A</w:t>
            </w:r>
            <w:r>
              <w:rPr>
                <w:rFonts w:ascii="Times New Roman" w:hAnsi="Times New Roman" w:eastAsia="Times New Roman"/>
                <w:b w:val="0"/>
                <w:i w:val="0"/>
                <w:sz w:val="15"/>
                <w:vertAlign w:val="superscript"/>
              </w:rPr>
              <w:t>2</w:t>
            </w:r>
            <w:r>
              <w:rPr>
                <w:rFonts w:ascii="Times New Roman" w:hAnsi="Times New Roman" w:eastAsia="Times New Roman"/>
                <w:b w:val="0"/>
                <w:i w:val="0"/>
                <w:sz w:val="15"/>
              </w:rPr>
              <w:t>)</w:t>
            </w:r>
          </w:p>
        </w:tc>
      </w:tr>
      <w:tr w14:paraId="7D08D6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15</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0.0106</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
              <w:rPr>
                <w:rFonts w:ascii="Times New Roman" w:hAnsi="Times New Roman" w:eastAsia="Songti SC"/>
                <w:b w:val="0"/>
                <w:i w:val="0"/>
                <w:color w:val="000000"/>
                <w:sz w:val="14"/>
              </w:rPr>
              <w:t>nested expression</w:t>
            </w:r>
          </w:p>
        </w:tc>
      </w:tr>
      <w:tr w14:paraId="3DBB35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25</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0.0071</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
              <w:rPr>
                <w:rFonts w:ascii="Times New Roman" w:hAnsi="Times New Roman" w:eastAsia="Songti SC"/>
                <w:b w:val="0"/>
                <w:i w:val="0"/>
                <w:color w:val="000000"/>
                <w:sz w:val="14"/>
              </w:rPr>
              <w:t>nested expression</w:t>
            </w:r>
          </w:p>
        </w:tc>
      </w:tr>
      <w:tr w14:paraId="746D4D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tcBorders>
              <w:bottom w:val="single" w:color="000000" w:sz="12" w:space="0"/>
            </w:tcBorders>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29</w:t>
            </w:r>
          </w:p>
        </w:tc>
        <w:tc>
          <w:tcPr>
            <w:tcW w:w="912" w:type="dxa"/>
            <w:tcBorders>
              <w:bottom w:val="single" w:color="000000" w:sz="12" w:space="0"/>
            </w:tcBorders>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0.0069</w:t>
            </w:r>
          </w:p>
        </w:tc>
        <w:tc>
          <w:tcPr>
            <w:tcW w:w="3429" w:type="dxa"/>
            <w:tcBorders>
              <w:bottom w:val="single" w:color="000000" w:sz="12" w:space="0"/>
            </w:tcBorders>
            <w:shd w:val="clear" w:color="auto" w:fill="FFFFFF"/>
            <w:tcMar>
              <w:top w:w="100" w:type="dxa"/>
              <w:left w:w="160" w:type="dxa"/>
              <w:bottom w:w="100" w:type="dxa"/>
              <w:right w:w="0" w:type="dxa"/>
            </w:tcMar>
            <w:vAlign w:val="center"/>
          </w:tcPr>
          <w:p>
            <w:pPr>
              <w:spacing w:before="0" w:after="0" w:line="240" w:lineRule="auto"/>
              <w:jc w:val="center"/>
            </w:pPr>
            <w:r/>
            <w:r>
              <w:rPr>
                <w:rFonts w:ascii="Times New Roman" w:hAnsi="Times New Roman" w:eastAsia="Songti SC"/>
                <w:b w:val="0"/>
                <w:i w:val="0"/>
                <w:color w:val="000000"/>
                <w:sz w:val="14"/>
              </w:rPr>
              <w:t>nested expression</w:t>
            </w:r>
          </w:p>
        </w:tc>
      </w:tr>
    </w:tbl>
    <w:p w14:paraId="59F69F26">
      <w:pPr>
        <w:widowControl w:val="0"/>
        <w:spacing w:line="252" w:lineRule="auto"/>
        <w:ind w:firstLine="202"/>
        <w:jc w:val="both"/>
      </w:pPr>
      <w:r>
        <w:rPr>
          <w:rFonts w:ascii="Times New Roman" w:hAnsi="Times New Roman" w:eastAsia="Songti SC"/>
          <w:sz w:val="20"/>
        </w:rPr>
        <w:t>The search settings were chosen to keep expressions readable: 100 populations of 27 individuals evolve for 300 generations with a 30-node cap, the nesting depth of the exponential, square-root, logarithm and division operators stays within five levels, and the division denominator is bounded below. Seven independent runs were performed; five converged to the same exponential structure and two to a different local optimum (AUC 0.9598, reported in the supplementary material). Table III lists the five converged runs. For these runs, the core constant c ranges from 0.204 to 0.214 with a mean of 0.21, and the test AUC is 0.9772 in all five. The constant changes only the operating point, not the pixel ranking.</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259684"/>
                  <wp:docPr id="7" name="Picture 7"/>
                  <wp:cNvGraphicFramePr>
                    <a:graphicFrameLocks noChangeAspect="1"/>
                  </wp:cNvGraphicFramePr>
                  <a:graphic>
                    <a:graphicData uri="http://schemas.openxmlformats.org/drawingml/2006/picture">
                      <pic:pic>
                        <pic:nvPicPr>
                          <pic:cNvPr id="0" name="fig08.png"/>
                          <pic:cNvPicPr/>
                        </pic:nvPicPr>
                        <pic:blipFill>
                          <a:blip r:embed="rId142"/>
                          <a:stretch>
                            <a:fillRect/>
                          </a:stretch>
                        </pic:blipFill>
                        <pic:spPr>
                          <a:xfrm>
                            <a:off x="0" y="0"/>
                            <a:ext cx="2971800" cy="1259684"/>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8. Pareto front of the symbolic-regression search: MSE versus expression complexity; the red star marks the selected six-node descriptor.</w:t>
            </w:r>
          </w:p>
        </w:tc>
      </w:tr>
    </w:tbl>
    <w:p w14:paraId="52533294">
      <w:pPr>
        <w:keepNext/>
        <w:widowControl w:val="0"/>
        <w:spacing w:line="252" w:lineRule="auto"/>
        <w:ind w:firstLine="202"/>
        <w:jc w:val="center"/>
        <w:rPr>
          <w:rFonts w:eastAsia="宋体"/>
          <w:lang w:eastAsia="zh-CN"/>
        </w:rPr>
      </w:pPr>
      <w:r>
        <w:rPr>
          <w:rFonts w:ascii="Times New Roman" w:hAnsi="Times New Roman" w:eastAsia="Songti SC"/>
          <w:b w:val="0"/>
          <w:i w:val="0"/>
          <w:color w:val="000000"/>
          <w:sz w:val="20"/>
        </w:rPr>
        <w:t>TABLE III</w:t>
      </w:r>
      <w:r>
        <w:rPr>
          <w:rFonts w:ascii="Times New Roman" w:hAnsi="Times New Roman" w:eastAsia="Songti SC"/>
          <w:sz w:val="20"/>
        </w:rPr>
        <w:br/>
      </w:r>
      <w:r>
        <w:rPr>
          <w:rFonts w:ascii="Times New Roman" w:hAnsi="Times New Roman" w:eastAsia="Songti SC"/>
          <w:b w:val="0"/>
          <w:sz w:val="20"/>
        </w:rPr>
        <w:t>Stability of Low-Complexity Expressions Under Different Random Seeds</w:t>
      </w:r>
    </w:p>
    <w:tbl>
      <w:tblPr>
        <w:tblStyle w:val="2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92"/>
        <w:gridCol w:w="2208"/>
        <w:gridCol w:w="890"/>
        <w:gridCol w:w="890"/>
      </w:tblGrid>
      <w:tr w14:paraId="3ECAA0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673C20D1">
            <w:pPr>
              <w:keepNext/>
              <w:keepLines/>
            </w:pPr>
            <w:r>
              <w:t>Random Seed</w:t>
            </w:r>
          </w:p>
        </w:tc>
        <w:tc>
          <w:tcPr>
            <w:tcW w:w="2208"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5B54A22C">
            <w:pPr>
              <w:keepNext/>
              <w:keepLines/>
            </w:pPr>
            <w:r>
              <w:t>Optimal Expression Structure</w:t>
            </w:r>
          </w:p>
        </w:tc>
        <w:tc>
          <w:tcPr>
            <w:tcW w:w="89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51F0C778">
            <w:pPr>
              <w:keepNext/>
              <w:keepLines/>
            </w:pPr>
            <w:r>
              <w:t xml:space="preserve"> c</w:t>
            </w:r>
          </w:p>
        </w:tc>
        <w:tc>
          <w:tcPr>
            <w:tcW w:w="89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73B428B7">
            <w:pPr>
              <w:keepNext/>
              <w:keepLines/>
            </w:pPr>
            <w:r>
              <w:t>Loss</w:t>
            </w:r>
          </w:p>
        </w:tc>
      </w:tr>
      <w:tr w14:paraId="129DC4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single" w:color="000000" w:sz="4" w:space="0"/>
              <w:left w:val="nil"/>
              <w:bottom w:val="nil"/>
              <w:right w:val="nil"/>
            </w:tcBorders>
            <w:shd w:val="clear" w:color="auto" w:fill="FFFFFF"/>
            <w:tcMar>
              <w:top w:w="60" w:type="dxa"/>
              <w:left w:w="120" w:type="dxa"/>
              <w:bottom w:w="30" w:type="dxa"/>
              <w:right w:w="120" w:type="dxa"/>
            </w:tcMar>
          </w:tcPr>
          <w:p w14:paraId="656A388B">
            <w:pPr>
              <w:keepNext/>
              <w:keepLines/>
            </w:pPr>
            <w:r>
              <w:t>42</w:t>
            </w:r>
          </w:p>
        </w:tc>
        <w:tc>
          <w:tcPr>
            <w:tcW w:w="2208" w:type="dxa"/>
            <w:tcBorders>
              <w:top w:val="single" w:color="000000" w:sz="4" w:space="0"/>
              <w:left w:val="nil"/>
              <w:bottom w:val="nil"/>
              <w:right w:val="nil"/>
            </w:tcBorders>
            <w:shd w:val="clear" w:color="auto" w:fill="FFFFFF"/>
            <w:tcMar>
              <w:top w:w="60" w:type="dxa"/>
              <w:left w:w="120" w:type="dxa"/>
              <w:bottom w:w="30" w:type="dxa"/>
              <w:right w:w="120" w:type="dxa"/>
            </w:tcMar>
          </w:tcPr>
          <w:p w14:paraId="3B4621BC">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single" w:color="000000" w:sz="4" w:space="0"/>
              <w:left w:val="nil"/>
              <w:bottom w:val="nil"/>
              <w:right w:val="nil"/>
            </w:tcBorders>
            <w:shd w:val="clear" w:color="auto" w:fill="FFFFFF"/>
            <w:tcMar>
              <w:top w:w="60" w:type="dxa"/>
              <w:left w:w="120" w:type="dxa"/>
              <w:bottom w:w="30" w:type="dxa"/>
              <w:right w:w="120" w:type="dxa"/>
            </w:tcMar>
          </w:tcPr>
          <w:p w14:paraId="7F7EDA24">
            <w:pPr>
              <w:keepNext/>
              <w:keepLines/>
            </w:pPr>
            <w:r>
              <w:t>0.214</w:t>
            </w:r>
          </w:p>
        </w:tc>
        <w:tc>
          <w:tcPr>
            <w:tcW w:w="890" w:type="dxa"/>
            <w:tcBorders>
              <w:top w:val="single" w:color="000000" w:sz="4" w:space="0"/>
              <w:left w:val="nil"/>
              <w:bottom w:val="nil"/>
              <w:right w:val="nil"/>
            </w:tcBorders>
            <w:shd w:val="clear" w:color="auto" w:fill="FFFFFF"/>
            <w:tcMar>
              <w:top w:w="60" w:type="dxa"/>
              <w:left w:w="120" w:type="dxa"/>
              <w:bottom w:w="30" w:type="dxa"/>
              <w:right w:w="120" w:type="dxa"/>
            </w:tcMar>
          </w:tcPr>
          <w:p w14:paraId="2912E9FF">
            <w:pPr>
              <w:keepNext/>
              <w:keepLines/>
            </w:pPr>
            <w:r>
              <w:t>0.02465</w:t>
            </w:r>
          </w:p>
        </w:tc>
      </w:tr>
      <w:tr w14:paraId="52A82B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nil"/>
              <w:right w:val="nil"/>
            </w:tcBorders>
            <w:shd w:val="clear" w:color="auto" w:fill="FFFFFF"/>
            <w:tcMar>
              <w:top w:w="60" w:type="dxa"/>
              <w:left w:w="120" w:type="dxa"/>
              <w:bottom w:w="30" w:type="dxa"/>
              <w:right w:w="120" w:type="dxa"/>
            </w:tcMar>
          </w:tcPr>
          <w:p w14:paraId="30BE004C">
            <w:pPr>
              <w:keepNext/>
              <w:keepLines/>
            </w:pPr>
            <w:r>
              <w:t>123</w:t>
            </w:r>
          </w:p>
        </w:tc>
        <w:tc>
          <w:tcPr>
            <w:tcW w:w="2208" w:type="dxa"/>
            <w:tcBorders>
              <w:top w:val="nil"/>
              <w:left w:val="nil"/>
              <w:bottom w:val="nil"/>
              <w:right w:val="nil"/>
            </w:tcBorders>
            <w:shd w:val="clear" w:color="auto" w:fill="FFFFFF"/>
            <w:tcMar>
              <w:top w:w="60" w:type="dxa"/>
              <w:left w:w="120" w:type="dxa"/>
              <w:bottom w:w="30" w:type="dxa"/>
              <w:right w:w="120" w:type="dxa"/>
            </w:tcMar>
          </w:tcPr>
          <w:p w14:paraId="7B7646F2">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nil"/>
              <w:right w:val="nil"/>
            </w:tcBorders>
            <w:shd w:val="clear" w:color="auto" w:fill="FFFFFF"/>
            <w:tcMar>
              <w:top w:w="60" w:type="dxa"/>
              <w:left w:w="120" w:type="dxa"/>
              <w:bottom w:w="30" w:type="dxa"/>
              <w:right w:w="120" w:type="dxa"/>
            </w:tcMar>
          </w:tcPr>
          <w:p w14:paraId="350DA7B8">
            <w:pPr>
              <w:keepNext/>
              <w:keepLines/>
            </w:pPr>
            <w:r>
              <w:t>0.210</w:t>
            </w:r>
          </w:p>
        </w:tc>
        <w:tc>
          <w:tcPr>
            <w:tcW w:w="890" w:type="dxa"/>
            <w:tcBorders>
              <w:top w:val="nil"/>
              <w:left w:val="nil"/>
              <w:bottom w:val="nil"/>
              <w:right w:val="nil"/>
            </w:tcBorders>
            <w:shd w:val="clear" w:color="auto" w:fill="FFFFFF"/>
            <w:tcMar>
              <w:top w:w="60" w:type="dxa"/>
              <w:left w:w="120" w:type="dxa"/>
              <w:bottom w:w="30" w:type="dxa"/>
              <w:right w:w="120" w:type="dxa"/>
            </w:tcMar>
          </w:tcPr>
          <w:p w14:paraId="14C54042">
            <w:pPr>
              <w:keepNext/>
              <w:keepLines/>
            </w:pPr>
            <w:r>
              <w:t>0.02487</w:t>
            </w:r>
          </w:p>
        </w:tc>
      </w:tr>
      <w:tr w14:paraId="4E089B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nil"/>
              <w:right w:val="nil"/>
            </w:tcBorders>
            <w:shd w:val="clear" w:color="auto" w:fill="FFFFFF"/>
            <w:tcMar>
              <w:top w:w="60" w:type="dxa"/>
              <w:left w:w="120" w:type="dxa"/>
              <w:bottom w:w="30" w:type="dxa"/>
              <w:right w:w="120" w:type="dxa"/>
            </w:tcMar>
          </w:tcPr>
          <w:p w14:paraId="5AE34039">
            <w:pPr>
              <w:keepNext/>
              <w:keepLines/>
            </w:pPr>
            <w:r>
              <w:t>211</w:t>
            </w:r>
          </w:p>
        </w:tc>
        <w:tc>
          <w:tcPr>
            <w:tcW w:w="2208" w:type="dxa"/>
            <w:tcBorders>
              <w:top w:val="nil"/>
              <w:left w:val="nil"/>
              <w:bottom w:val="nil"/>
              <w:right w:val="nil"/>
            </w:tcBorders>
            <w:shd w:val="clear" w:color="auto" w:fill="FFFFFF"/>
            <w:tcMar>
              <w:top w:w="60" w:type="dxa"/>
              <w:left w:w="120" w:type="dxa"/>
              <w:bottom w:w="30" w:type="dxa"/>
              <w:right w:w="120" w:type="dxa"/>
            </w:tcMar>
          </w:tcPr>
          <w:p w14:paraId="5798B6E9">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nil"/>
              <w:right w:val="nil"/>
            </w:tcBorders>
            <w:shd w:val="clear" w:color="auto" w:fill="FFFFFF"/>
            <w:tcMar>
              <w:top w:w="60" w:type="dxa"/>
              <w:left w:w="120" w:type="dxa"/>
              <w:bottom w:w="30" w:type="dxa"/>
              <w:right w:w="120" w:type="dxa"/>
            </w:tcMar>
          </w:tcPr>
          <w:p w14:paraId="09609F9A">
            <w:pPr>
              <w:keepNext/>
              <w:keepLines/>
            </w:pPr>
            <w:r>
              <w:t>0.211</w:t>
            </w:r>
          </w:p>
        </w:tc>
        <w:tc>
          <w:tcPr>
            <w:tcW w:w="890" w:type="dxa"/>
            <w:tcBorders>
              <w:top w:val="nil"/>
              <w:left w:val="nil"/>
              <w:bottom w:val="nil"/>
              <w:right w:val="nil"/>
            </w:tcBorders>
            <w:shd w:val="clear" w:color="auto" w:fill="FFFFFF"/>
            <w:tcMar>
              <w:top w:w="60" w:type="dxa"/>
              <w:left w:w="120" w:type="dxa"/>
              <w:bottom w:w="30" w:type="dxa"/>
              <w:right w:w="120" w:type="dxa"/>
            </w:tcMar>
          </w:tcPr>
          <w:p w14:paraId="62D85F59">
            <w:pPr>
              <w:keepNext/>
              <w:keepLines/>
            </w:pPr>
            <w:r>
              <w:t>0.02363</w:t>
            </w:r>
          </w:p>
        </w:tc>
      </w:tr>
      <w:tr w14:paraId="68291F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nil"/>
              <w:right w:val="nil"/>
            </w:tcBorders>
            <w:shd w:val="clear" w:color="auto" w:fill="FFFFFF"/>
            <w:tcMar>
              <w:top w:w="60" w:type="dxa"/>
              <w:left w:w="120" w:type="dxa"/>
              <w:bottom w:w="30" w:type="dxa"/>
              <w:right w:w="120" w:type="dxa"/>
            </w:tcMar>
          </w:tcPr>
          <w:p w14:paraId="7E935DA2">
            <w:pPr>
              <w:keepNext/>
              <w:keepLines/>
            </w:pPr>
            <w:r>
              <w:t>666</w:t>
            </w:r>
          </w:p>
        </w:tc>
        <w:tc>
          <w:tcPr>
            <w:tcW w:w="2208" w:type="dxa"/>
            <w:tcBorders>
              <w:top w:val="nil"/>
              <w:left w:val="nil"/>
              <w:bottom w:val="nil"/>
              <w:right w:val="nil"/>
            </w:tcBorders>
            <w:shd w:val="clear" w:color="auto" w:fill="FFFFFF"/>
            <w:tcMar>
              <w:top w:w="60" w:type="dxa"/>
              <w:left w:w="120" w:type="dxa"/>
              <w:bottom w:w="30" w:type="dxa"/>
              <w:right w:w="120" w:type="dxa"/>
            </w:tcMar>
          </w:tcPr>
          <w:p w14:paraId="7EF3D0AE">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nil"/>
              <w:right w:val="nil"/>
            </w:tcBorders>
            <w:shd w:val="clear" w:color="auto" w:fill="FFFFFF"/>
            <w:tcMar>
              <w:top w:w="60" w:type="dxa"/>
              <w:left w:w="120" w:type="dxa"/>
              <w:bottom w:w="30" w:type="dxa"/>
              <w:right w:w="120" w:type="dxa"/>
            </w:tcMar>
          </w:tcPr>
          <w:p w14:paraId="27DBB725">
            <w:pPr>
              <w:keepNext/>
              <w:keepLines/>
              <w:rPr>
                <w:lang w:eastAsia="zh-CN"/>
              </w:rPr>
            </w:pPr>
            <w:r>
              <w:t>0.20</w:t>
            </w:r>
            <w:r>
              <w:rPr>
                <w:lang w:eastAsia="zh-CN"/>
              </w:rPr>
              <w:t>4</w:t>
            </w:r>
          </w:p>
        </w:tc>
        <w:tc>
          <w:tcPr>
            <w:tcW w:w="890" w:type="dxa"/>
            <w:tcBorders>
              <w:top w:val="nil"/>
              <w:left w:val="nil"/>
              <w:bottom w:val="nil"/>
              <w:right w:val="nil"/>
            </w:tcBorders>
            <w:shd w:val="clear" w:color="auto" w:fill="FFFFFF"/>
            <w:tcMar>
              <w:top w:w="60" w:type="dxa"/>
              <w:left w:w="120" w:type="dxa"/>
              <w:bottom w:w="30" w:type="dxa"/>
              <w:right w:w="120" w:type="dxa"/>
            </w:tcMar>
          </w:tcPr>
          <w:p w14:paraId="20EE7F65">
            <w:pPr>
              <w:keepNext/>
              <w:keepLines/>
            </w:pPr>
            <w:r>
              <w:t>0.02279</w:t>
            </w:r>
          </w:p>
        </w:tc>
      </w:tr>
      <w:tr w14:paraId="29F1F5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single" w:color="000000" w:sz="12" w:space="0"/>
              <w:right w:val="nil"/>
            </w:tcBorders>
            <w:shd w:val="clear" w:color="auto" w:fill="FFFFFF"/>
            <w:tcMar>
              <w:top w:w="60" w:type="dxa"/>
              <w:left w:w="120" w:type="dxa"/>
              <w:bottom w:w="30" w:type="dxa"/>
              <w:right w:w="120" w:type="dxa"/>
            </w:tcMar>
          </w:tcPr>
          <w:p w14:paraId="330C14E5">
            <w:pPr>
              <w:keepLines/>
            </w:pPr>
            <w:r>
              <w:t>789</w:t>
            </w:r>
          </w:p>
        </w:tc>
        <w:tc>
          <w:tcPr>
            <w:tcW w:w="2208" w:type="dxa"/>
            <w:tcBorders>
              <w:top w:val="nil"/>
              <w:left w:val="nil"/>
              <w:bottom w:val="single" w:color="000000" w:sz="12" w:space="0"/>
              <w:right w:val="nil"/>
            </w:tcBorders>
            <w:shd w:val="clear" w:color="auto" w:fill="FFFFFF"/>
            <w:tcMar>
              <w:top w:w="60" w:type="dxa"/>
              <w:left w:w="120" w:type="dxa"/>
              <w:bottom w:w="30" w:type="dxa"/>
              <w:right w:w="120" w:type="dxa"/>
            </w:tcMar>
          </w:tcPr>
          <w:p w14:paraId="4CB02860">
            <w:pPr>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single" w:color="000000" w:sz="12" w:space="0"/>
              <w:right w:val="nil"/>
            </w:tcBorders>
            <w:shd w:val="clear" w:color="auto" w:fill="FFFFFF"/>
            <w:tcMar>
              <w:top w:w="60" w:type="dxa"/>
              <w:left w:w="120" w:type="dxa"/>
              <w:bottom w:w="30" w:type="dxa"/>
              <w:right w:w="120" w:type="dxa"/>
            </w:tcMar>
          </w:tcPr>
          <w:p w14:paraId="2FC7DDC1">
            <w:pPr>
              <w:keepLines/>
            </w:pPr>
            <w:r>
              <w:t>0.209</w:t>
            </w:r>
          </w:p>
        </w:tc>
        <w:tc>
          <w:tcPr>
            <w:tcW w:w="890" w:type="dxa"/>
            <w:tcBorders>
              <w:top w:val="nil"/>
              <w:left w:val="nil"/>
              <w:bottom w:val="single" w:color="000000" w:sz="12" w:space="0"/>
              <w:right w:val="nil"/>
            </w:tcBorders>
            <w:shd w:val="clear" w:color="auto" w:fill="FFFFFF"/>
            <w:tcMar>
              <w:top w:w="60" w:type="dxa"/>
              <w:left w:w="120" w:type="dxa"/>
              <w:bottom w:w="30" w:type="dxa"/>
              <w:right w:w="120" w:type="dxa"/>
            </w:tcMar>
          </w:tcPr>
          <w:p w14:paraId="58BF0DBA">
            <w:pPr>
              <w:keepLines/>
            </w:pPr>
            <w:r>
              <w:t>0.02463</w:t>
            </w:r>
          </w:p>
        </w:tc>
      </w:tr>
    </w:tbl>
    <w:p w14:paraId="6AA30398">
      <w:pPr>
        <w:pStyle w:val="37"/>
      </w:pPr>
    </w:p>
    <w:p w14:paraId="54D3A026">
      <w:pPr>
        <w:widowControl w:val="0"/>
        <w:spacing w:line="252" w:lineRule="auto"/>
        <w:ind w:firstLine="202"/>
        <w:jc w:val="both"/>
      </w:pPr>
      <w:r>
        <w:rPr>
          <w:rFonts w:ascii="Times New Roman" w:hAnsi="Times New Roman" w:eastAsia="Songti SC"/>
          <w:sz w:val="20"/>
        </w:rPr>
        <w:t>Taking the mean constant c = 0.21 gives the low-complexity scattering descriptor of Eq. (14), which is adopted in the general detection layer.</w:t>
      </w:r>
    </w:p>
    <w:p w14:paraId="15B3E482">
      <w:pPr>
        <w:widowControl w:val="0"/>
        <w:spacing w:line="252" w:lineRule="auto"/>
        <w:ind w:firstLine="202"/>
        <w:jc w:val="both"/>
      </w:pPr>
      <w:r>
        <w:rPr>
          <w:rFonts w:ascii="Times New Roman" w:hAnsi="Times New Roman" w:eastAsia="Times New Roman"/>
          <w:b w:val="0"/>
          <w:i w:val="0"/>
          <w:sz w:val="20"/>
        </w:rPr>
        <w:t xml:space="preserve">A higher-complexity variant with 13 nodes couples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nonlinearly and improves the pixel-level fit (Table IV). Let A = exp((-0.6271 -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v</w:t>
      </w:r>
      <w:r>
        <w:rPr>
          <w:rFonts w:ascii="Times New Roman" w:hAnsi="Times New Roman" w:eastAsia="Times New Roman"/>
          <w:b w:val="0"/>
          <w:i w:val="0"/>
          <w:sz w:val="20"/>
        </w:rPr>
        <w:t>) / (</w:t>
      </w:r>
      <w:r>
        <w:rPr>
          <w:rFonts w:ascii="Times New Roman" w:hAnsi="Times New Roman" w:eastAsia="Times New Roman"/>
          <w:b w:val="0"/>
          <w:i/>
          <w:sz w:val="20"/>
        </w:rPr>
        <w:t>P</w:t>
      </w:r>
      <w:r>
        <w:rPr>
          <w:rFonts w:ascii="Times New Roman" w:hAnsi="Times New Roman" w:eastAsia="Times New Roman"/>
          <w:b w:val="0"/>
          <w:i/>
          <w:sz w:val="20"/>
          <w:vertAlign w:val="subscript"/>
        </w:rPr>
        <w:t>m</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 xml:space="preserve"> + 0.7921); its expression is </w:t>
      </w:r>
      <w:r>
        <w:rPr>
          <w:rFonts w:ascii="Times New Roman" w:hAnsi="Times New Roman" w:eastAsia="Times New Roman"/>
          <w:b w:val="0"/>
          <w:i/>
          <w:sz w:val="20"/>
        </w:rPr>
        <w:t>P</w:t>
      </w:r>
      <w:r>
        <w:rPr>
          <w:rFonts w:ascii="Times New Roman" w:hAnsi="Times New Roman" w:eastAsia="Times New Roman"/>
          <w:b w:val="0"/>
          <w:i/>
          <w:sz w:val="20"/>
          <w:vertAlign w:val="subscript"/>
        </w:rPr>
        <w:t>smv</w:t>
      </w:r>
      <w:r>
        <w:rPr>
          <w:rFonts w:ascii="Times New Roman" w:hAnsi="Times New Roman" w:eastAsia="Times New Roman"/>
          <w:b w:val="0"/>
          <w:i w:val="0"/>
          <w:sz w:val="20"/>
        </w:rPr>
        <w:t xml:space="preserve"> = cos(</w:t>
      </w:r>
      <w:r>
        <w:rPr>
          <w:rFonts w:ascii="Times New Roman" w:hAnsi="Times New Roman" w:eastAsia="Times New Roman"/>
          <w:b w:val="0"/>
          <w:i/>
          <w:sz w:val="20"/>
        </w:rPr>
        <w:t>A</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 given by Eq. (23). Because the AUC gain over the six-node descriptor is small and the expression is less interpretable, this variant is reported only as a reference and is not used in the detection experiments.</w:t>
      </w:r>
    </w:p>
    <w:tbl>
      <w:tblPr>
        <w:tblStyle w:val="23"/>
        <w:tblW w:w="5040" w:type="dxa"/>
        <w:jc w:val="center"/>
        <w:tblLayout w:type="fixed"/>
        <w:tblCellMar>
          <w:top w:w="0" w:type="dxa"/>
          <w:left w:w="108" w:type="dxa"/>
          <w:bottom w:w="0" w:type="dxa"/>
          <w:right w:w="108" w:type="dxa"/>
        </w:tblCellMar>
      </w:tblPr>
      <w:tblGrid>
        <w:gridCol w:w="4500"/>
        <w:gridCol w:w="540"/>
      </w:tblGrid>
      <w:tr w14:paraId="015A01AA">
        <w:tblPrEx>
          <w:tblCellMar>
            <w:top w:w="0" w:type="dxa"/>
            <w:left w:w="108" w:type="dxa"/>
            <w:bottom w:w="0" w:type="dxa"/>
            <w:right w:w="108" w:type="dxa"/>
          </w:tblCellMar>
        </w:tblPrEx>
        <w:trPr>
          <w:jc w:val="center"/>
        </w:trPr>
        <w:tc>
          <w:tcPr>
            <w:tcW w:w="4500" w:type="dxa"/>
            <w:tcMar>
              <w:left w:w="0" w:type="dxa"/>
              <w:right w:w="0" w:type="dxa"/>
            </w:tcMar>
            <w:vAlign w:val="center"/>
          </w:tcPr>
          <w:p>
            <w:pPr>
              <w:spacing w:before="60" w:after="60"/>
              <w:jc w:val="center"/>
            </w:pPr>
            <w:r>
              <w:rPr>
                <w:rFonts w:ascii="Times New Roman" w:hAnsi="Times New Roman" w:eastAsia="Times New Roman"/>
                <w:b w:val="0"/>
                <w:i/>
                <w:sz w:val="18"/>
              </w:rPr>
              <w:t>P</w:t>
            </w:r>
            <w:r>
              <w:rPr>
                <w:rFonts w:ascii="Times New Roman" w:hAnsi="Times New Roman" w:eastAsia="Times New Roman"/>
                <w:b w:val="0"/>
                <w:i/>
                <w:sz w:val="18"/>
                <w:vertAlign w:val="subscript"/>
              </w:rPr>
              <w:t>smv</w:t>
            </w:r>
            <w:r>
              <w:rPr>
                <w:rFonts w:ascii="Times New Roman" w:hAnsi="Times New Roman" w:eastAsia="Times New Roman"/>
                <w:b w:val="0"/>
                <w:i w:val="0"/>
                <w:sz w:val="18"/>
              </w:rPr>
              <w:t xml:space="preserve"> = cos(A2)</w:t>
            </w:r>
          </w:p>
        </w:tc>
        <w:tc>
          <w:tcPr>
            <w:tcW w:w="540" w:type="dxa"/>
            <w:tcMar>
              <w:left w:w="0" w:type="dxa"/>
              <w:right w:w="0" w:type="dxa"/>
            </w:tcMar>
            <w:vAlign w:val="center"/>
          </w:tcPr>
          <w:p>
            <w:r>
              <w:rPr>
                <w:rFonts w:ascii="Times New Roman" w:hAnsi="Times New Roman"/>
                <w:sz w:val="18"/>
              </w:rPr>
              <w:t>(23)</w:t>
            </w:r>
          </w:p>
        </w:tc>
      </w:tr>
    </w:tbl>
    <w:p w14:paraId="0AEC1CC3">
      <w:pPr>
        <w:widowControl w:val="0"/>
        <w:spacing w:line="252" w:lineRule="auto"/>
        <w:ind w:firstLine="202"/>
        <w:jc w:val="both"/>
        <w:rPr>
          <w:rFonts w:eastAsia="宋体"/>
          <w:lang w:eastAsia="zh-CN"/>
        </w:rPr>
      </w:pPr>
      <w:r>
        <w:rPr>
          <w:rFonts w:ascii="Times New Roman" w:hAnsi="Times New Roman" w:eastAsia="Songti SC"/>
          <w:b w:val="0"/>
          <w:i w:val="0"/>
          <w:color w:val="000000"/>
          <w:sz w:val="20"/>
        </w:rPr>
        <w:t xml:space="preserve">The 13-node variant reaches 95.34% pixel accuracy and an AUC of 0.9867, versus 92.17% and 0.9772 for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mv</w:t>
      </w:r>
      <w:r>
        <w:rPr>
          <w:rFonts w:ascii="Times New Roman" w:hAnsi="Times New Roman" w:eastAsia="Songti SC"/>
          <w:b w:val="0"/>
          <w:i w:val="0"/>
          <w:color w:val="000000"/>
          <w:sz w:val="20"/>
        </w:rPr>
        <w:t>. The improvement comes at the cost of interpretability and is not carried into the detector-level evaluation.</w:t>
      </w:r>
    </w:p>
    <w:p w14:paraId="3C5B9060">
      <w:pPr>
        <w:widowControl w:val="0"/>
        <w:spacing w:line="252" w:lineRule="auto"/>
        <w:jc w:val="both"/>
        <w:rPr>
          <w:rFonts w:eastAsia="宋体"/>
          <w:lang w:eastAsia="zh-CN"/>
        </w:rPr>
      </w:pPr>
    </w:p>
    <w:p w14:paraId="11A6688A">
      <w:pPr>
        <w:widowControl w:val="0"/>
        <w:spacing w:line="252" w:lineRule="auto"/>
        <w:jc w:val="both"/>
      </w:pPr>
      <w:r>
        <w:rPr>
          <w:rFonts w:hint="eastAsia" w:eastAsia="Songti SC" w:ascii="Times New Roman" w:hAnsi="Times New Roman"/>
          <w:sz w:val="20"/>
          <w:lang w:eastAsia="zh-CN"/>
        </w:rPr>
        <w:t>C</w:t>
      </w:r>
      <w:r>
        <w:rPr>
          <w:rFonts w:ascii="Times New Roman" w:hAnsi="Times New Roman" w:eastAsia="Songti SC"/>
          <w:sz w:val="20"/>
        </w:rPr>
        <w:t>. Pixel-Level Threshold Detection Performance Comparison</w:t>
      </w:r>
    </w:p>
    <w:p w14:paraId="17924C7A">
      <w:pPr>
        <w:pStyle w:val="37"/>
      </w:pPr>
      <w:r>
        <w:rPr>
          <w:rFonts w:ascii="Times New Roman" w:hAnsi="Times New Roman" w:eastAsia="Songti SC"/>
          <w:sz w:val="20"/>
        </w:rPr>
        <w:t>In this section, the mined explicit features are compared with conventional handcrafted polarimetric features in the pixel-level threshold detection task to verify their discriminative capability under single-feature conditions. The visual comparison of different input features is shown in Fig. 9, and the quantitative results are summarized in Table IV.</w:t>
      </w:r>
    </w:p>
    <w:p w14:paraId="6EAD3F5D">
      <w:pPr>
        <w:spacing w:before="120" w:after="120" w:line="288" w:lineRule="auto"/>
        <w:rPr>
          <w:rFonts w:eastAsia="宋体"/>
          <w:lang w:eastAsia="zh-CN"/>
        </w:r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p w14:paraId="50607852">
      <w:pPr>
        <w:keepNext/>
        <w:widowControl w:val="0"/>
        <w:spacing w:line="252" w:lineRule="auto"/>
        <w:ind w:firstLine="202"/>
        <w:jc w:val="center"/>
        <w:rPr>
          <w:rFonts w:eastAsia="宋体"/>
          <w:lang w:eastAsia="zh-CN"/>
        </w:rPr>
      </w:pPr>
      <w:r>
        <w:rPr>
          <w:rFonts w:ascii="Times New Roman" w:hAnsi="Times New Roman" w:eastAsia="Songti SC"/>
          <w:b w:val="0"/>
          <w:i w:val="0"/>
          <w:color w:val="000000"/>
          <w:sz w:val="20"/>
        </w:rPr>
        <w:t>TABLE IV</w:t>
      </w:r>
      <w:r>
        <w:rPr>
          <w:rFonts w:ascii="Times New Roman" w:hAnsi="Times New Roman" w:eastAsia="Songti SC"/>
          <w:sz w:val="20"/>
        </w:rPr>
        <w:br/>
      </w:r>
      <w:r>
        <w:rPr>
          <w:rFonts w:ascii="Times New Roman" w:hAnsi="Times New Roman" w:eastAsia="Songti SC"/>
          <w:b w:val="0"/>
          <w:sz w:val="20"/>
        </w:rPr>
        <w:t>Pixel-Level Threshold Detection Performance Comparison (1:2 Balanced Sample)</w:t>
      </w:r>
    </w:p>
    <w:tbl>
      <w:tblPr>
        <w:tblStyle w:val="2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346"/>
        <w:gridCol w:w="1356"/>
        <w:gridCol w:w="974"/>
        <w:gridCol w:w="790"/>
      </w:tblGrid>
      <w:tr w14:paraId="773405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Method</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Accuracy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F1</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AUC</w:t>
            </w:r>
          </w:p>
        </w:tc>
      </w:tr>
      <w:tr w14:paraId="23047C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xml:space="preserve"> (surface)</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14:paraId="27A396F1">
            <w:pPr>
              <w:keepNext/>
              <w:keepLines/>
              <w:jc w:val="center"/>
            </w:pPr>
            <w:r>
              <w:rPr>
                <w:rFonts w:hint="eastAsia"/>
              </w:rPr>
              <w:t>71.01</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14:paraId="643D77AB">
            <w:pPr>
              <w:keepNext/>
              <w:keepLines/>
              <w:jc w:val="center"/>
            </w:pPr>
            <w:r>
              <w:rPr>
                <w:rFonts w:hint="eastAsia"/>
              </w:rPr>
              <w:t>0.3080</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14:paraId="45F0847B">
            <w:pPr>
              <w:keepNext/>
              <w:keepLines/>
              <w:jc w:val="center"/>
            </w:pPr>
            <w:r>
              <w:rPr>
                <w:rFonts w:hint="eastAsia"/>
              </w:rPr>
              <w:t>0.3132</w:t>
            </w:r>
          </w:p>
        </w:tc>
      </w:tr>
      <w:tr w14:paraId="044FAC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(double + helix)</w:t>
            </w:r>
          </w:p>
        </w:tc>
        <w:tc>
          <w:tcPr>
            <w:tcW w:w="0" w:type="auto"/>
            <w:tcBorders>
              <w:top w:val="nil"/>
              <w:left w:val="nil"/>
              <w:bottom w:val="nil"/>
              <w:right w:val="nil"/>
            </w:tcBorders>
            <w:shd w:val="clear" w:color="auto" w:fill="FFFFFF"/>
            <w:tcMar>
              <w:top w:w="60" w:type="dxa"/>
              <w:left w:w="120" w:type="dxa"/>
              <w:bottom w:w="30" w:type="dxa"/>
              <w:right w:w="120" w:type="dxa"/>
            </w:tcMar>
          </w:tcPr>
          <w:p w14:paraId="63BD4884">
            <w:pPr>
              <w:keepNext/>
              <w:keepLines/>
              <w:jc w:val="center"/>
            </w:pPr>
            <w:r>
              <w:rPr>
                <w:rFonts w:hint="eastAsia"/>
              </w:rPr>
              <w:t>84.60</w:t>
            </w:r>
          </w:p>
        </w:tc>
        <w:tc>
          <w:tcPr>
            <w:tcW w:w="0" w:type="auto"/>
            <w:tcBorders>
              <w:top w:val="nil"/>
              <w:left w:val="nil"/>
              <w:bottom w:val="nil"/>
              <w:right w:val="nil"/>
            </w:tcBorders>
            <w:shd w:val="clear" w:color="auto" w:fill="FFFFFF"/>
            <w:tcMar>
              <w:top w:w="60" w:type="dxa"/>
              <w:left w:w="120" w:type="dxa"/>
              <w:bottom w:w="30" w:type="dxa"/>
              <w:right w:w="120" w:type="dxa"/>
            </w:tcMar>
          </w:tcPr>
          <w:p w14:paraId="7272A2D2">
            <w:pPr>
              <w:keepNext/>
              <w:keepLines/>
              <w:jc w:val="center"/>
            </w:pPr>
            <w:r>
              <w:rPr>
                <w:rFonts w:hint="eastAsia"/>
              </w:rPr>
              <w:t>0.7650</w:t>
            </w:r>
          </w:p>
        </w:tc>
        <w:tc>
          <w:tcPr>
            <w:tcW w:w="0" w:type="auto"/>
            <w:tcBorders>
              <w:top w:val="nil"/>
              <w:left w:val="nil"/>
              <w:bottom w:val="nil"/>
              <w:right w:val="nil"/>
            </w:tcBorders>
            <w:shd w:val="clear" w:color="auto" w:fill="FFFFFF"/>
            <w:tcMar>
              <w:top w:w="60" w:type="dxa"/>
              <w:left w:w="120" w:type="dxa"/>
              <w:bottom w:w="30" w:type="dxa"/>
              <w:right w:w="120" w:type="dxa"/>
            </w:tcMar>
          </w:tcPr>
          <w:p w14:paraId="343C5AF2">
            <w:pPr>
              <w:keepNext/>
              <w:keepLines/>
              <w:jc w:val="center"/>
            </w:pPr>
            <w:r>
              <w:rPr>
                <w:rFonts w:hint="eastAsia"/>
              </w:rPr>
              <w:t>0.8223</w:t>
            </w:r>
          </w:p>
        </w:tc>
      </w:tr>
      <w:tr w14:paraId="196495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(volume)</w:t>
            </w:r>
          </w:p>
        </w:tc>
        <w:tc>
          <w:tcPr>
            <w:tcW w:w="0" w:type="auto"/>
            <w:tcBorders>
              <w:top w:val="nil"/>
              <w:left w:val="nil"/>
              <w:bottom w:val="nil"/>
              <w:right w:val="nil"/>
            </w:tcBorders>
            <w:shd w:val="clear" w:color="auto" w:fill="FFFFFF"/>
            <w:tcMar>
              <w:top w:w="60" w:type="dxa"/>
              <w:left w:w="120" w:type="dxa"/>
              <w:bottom w:w="30" w:type="dxa"/>
              <w:right w:w="120" w:type="dxa"/>
            </w:tcMar>
          </w:tcPr>
          <w:p w14:paraId="350C430B">
            <w:pPr>
              <w:keepNext/>
              <w:keepLines/>
              <w:jc w:val="center"/>
            </w:pPr>
            <w:r>
              <w:rPr>
                <w:rFonts w:hint="eastAsia"/>
              </w:rPr>
              <w:t>81.72</w:t>
            </w:r>
          </w:p>
        </w:tc>
        <w:tc>
          <w:tcPr>
            <w:tcW w:w="0" w:type="auto"/>
            <w:tcBorders>
              <w:top w:val="nil"/>
              <w:left w:val="nil"/>
              <w:bottom w:val="nil"/>
              <w:right w:val="nil"/>
            </w:tcBorders>
            <w:shd w:val="clear" w:color="auto" w:fill="FFFFFF"/>
            <w:tcMar>
              <w:top w:w="60" w:type="dxa"/>
              <w:left w:w="120" w:type="dxa"/>
              <w:bottom w:w="30" w:type="dxa"/>
              <w:right w:w="120" w:type="dxa"/>
            </w:tcMar>
          </w:tcPr>
          <w:p w14:paraId="61D4B005">
            <w:pPr>
              <w:keepNext/>
              <w:keepLines/>
              <w:jc w:val="center"/>
            </w:pPr>
            <w:r>
              <w:rPr>
                <w:rFonts w:hint="eastAsia"/>
              </w:rPr>
              <w:t>0.7480</w:t>
            </w:r>
          </w:p>
        </w:tc>
        <w:tc>
          <w:tcPr>
            <w:tcW w:w="0" w:type="auto"/>
            <w:tcBorders>
              <w:top w:val="nil"/>
              <w:left w:val="nil"/>
              <w:bottom w:val="nil"/>
              <w:right w:val="nil"/>
            </w:tcBorders>
            <w:shd w:val="clear" w:color="auto" w:fill="FFFFFF"/>
            <w:tcMar>
              <w:top w:w="60" w:type="dxa"/>
              <w:left w:w="120" w:type="dxa"/>
              <w:bottom w:w="30" w:type="dxa"/>
              <w:right w:w="120" w:type="dxa"/>
            </w:tcMar>
          </w:tcPr>
          <w:p w14:paraId="3EDF87EB">
            <w:pPr>
              <w:keepNext/>
              <w:keepLines/>
              <w:jc w:val="center"/>
            </w:pPr>
            <w:r>
              <w:rPr>
                <w:rFonts w:hint="eastAsia"/>
              </w:rPr>
              <w:t>0.8950</w:t>
            </w:r>
          </w:p>
        </w:tc>
      </w:tr>
      <w:tr w14:paraId="21AE46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
              <w:rPr>
                <w:rFonts w:ascii="Times New Roman" w:hAnsi="Times New Roman" w:eastAsia="Songti SC"/>
                <w:b w:val="0"/>
                <w:i w:val="0"/>
                <w:color w:val="000000"/>
                <w:sz w:val="15"/>
              </w:rPr>
              <w:t>Teacher MLP</w:t>
            </w:r>
          </w:p>
        </w:tc>
        <w:tc>
          <w:tcPr>
            <w:tcW w:w="0" w:type="auto"/>
            <w:tcBorders>
              <w:top w:val="nil"/>
              <w:left w:val="nil"/>
              <w:bottom w:val="nil"/>
              <w:right w:val="nil"/>
            </w:tcBorders>
            <w:shd w:val="clear" w:color="auto" w:fill="FFFFFF"/>
            <w:tcMar>
              <w:top w:w="60" w:type="dxa"/>
              <w:left w:w="120" w:type="dxa"/>
              <w:bottom w:w="30" w:type="dxa"/>
              <w:right w:w="120" w:type="dxa"/>
            </w:tcMar>
          </w:tcPr>
          <w:p w14:paraId="3BD655FC">
            <w:pPr>
              <w:keepNext/>
              <w:keepLines/>
              <w:jc w:val="center"/>
            </w:pPr>
            <w:r>
              <w:rPr>
                <w:rFonts w:hint="eastAsia"/>
              </w:rPr>
              <w:t>95.84</w:t>
            </w:r>
          </w:p>
        </w:tc>
        <w:tc>
          <w:tcPr>
            <w:tcW w:w="0" w:type="auto"/>
            <w:tcBorders>
              <w:top w:val="nil"/>
              <w:left w:val="nil"/>
              <w:bottom w:val="nil"/>
              <w:right w:val="nil"/>
            </w:tcBorders>
            <w:shd w:val="clear" w:color="auto" w:fill="FFFFFF"/>
            <w:tcMar>
              <w:top w:w="60" w:type="dxa"/>
              <w:left w:w="120" w:type="dxa"/>
              <w:bottom w:w="30" w:type="dxa"/>
              <w:right w:w="120" w:type="dxa"/>
            </w:tcMar>
          </w:tcPr>
          <w:p w14:paraId="706A8AB2">
            <w:pPr>
              <w:keepNext/>
              <w:keepLines/>
              <w:jc w:val="center"/>
            </w:pPr>
            <w:r>
              <w:rPr>
                <w:rFonts w:hint="eastAsia"/>
              </w:rPr>
              <w:t>0.9413</w:t>
            </w:r>
          </w:p>
        </w:tc>
        <w:tc>
          <w:tcPr>
            <w:tcW w:w="0" w:type="auto"/>
            <w:tcBorders>
              <w:top w:val="nil"/>
              <w:left w:val="nil"/>
              <w:bottom w:val="nil"/>
              <w:right w:val="nil"/>
            </w:tcBorders>
            <w:shd w:val="clear" w:color="auto" w:fill="FFFFFF"/>
            <w:tcMar>
              <w:top w:w="60" w:type="dxa"/>
              <w:left w:w="120" w:type="dxa"/>
              <w:bottom w:w="30" w:type="dxa"/>
              <w:right w:w="120" w:type="dxa"/>
            </w:tcMar>
          </w:tcPr>
          <w:p w14:paraId="5F5327E7">
            <w:pPr>
              <w:keepNext/>
              <w:keepLines/>
              <w:jc w:val="center"/>
            </w:pPr>
            <w:r>
              <w:rPr>
                <w:rFonts w:hint="eastAsia"/>
              </w:rPr>
              <w:t>0.9881</w:t>
            </w:r>
          </w:p>
        </w:tc>
      </w:tr>
      <w:tr w14:paraId="5CEF16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(ours)</w:t>
            </w:r>
          </w:p>
        </w:tc>
        <w:tc>
          <w:tcPr>
            <w:tcW w:w="0" w:type="auto"/>
            <w:tcBorders>
              <w:top w:val="nil"/>
              <w:left w:val="nil"/>
              <w:bottom w:val="nil"/>
              <w:right w:val="nil"/>
            </w:tcBorders>
            <w:shd w:val="clear" w:color="auto" w:fill="FFFFFF"/>
            <w:tcMar>
              <w:top w:w="60" w:type="dxa"/>
              <w:left w:w="120" w:type="dxa"/>
              <w:bottom w:w="30" w:type="dxa"/>
              <w:right w:w="120" w:type="dxa"/>
            </w:tcMar>
          </w:tcPr>
          <w:p w14:paraId="5430BB69">
            <w:pPr>
              <w:keepNext/>
              <w:keepLines/>
              <w:jc w:val="center"/>
            </w:pPr>
            <w:r>
              <w:rPr>
                <w:rFonts w:hint="eastAsia"/>
              </w:rPr>
              <w:t>92.17</w:t>
            </w:r>
          </w:p>
        </w:tc>
        <w:tc>
          <w:tcPr>
            <w:tcW w:w="0" w:type="auto"/>
            <w:tcBorders>
              <w:top w:val="nil"/>
              <w:left w:val="nil"/>
              <w:bottom w:val="nil"/>
              <w:right w:val="nil"/>
            </w:tcBorders>
            <w:shd w:val="clear" w:color="auto" w:fill="FFFFFF"/>
            <w:tcMar>
              <w:top w:w="60" w:type="dxa"/>
              <w:left w:w="120" w:type="dxa"/>
              <w:bottom w:w="30" w:type="dxa"/>
              <w:right w:w="120" w:type="dxa"/>
            </w:tcMar>
          </w:tcPr>
          <w:p w14:paraId="08383B38">
            <w:pPr>
              <w:keepNext/>
              <w:keepLines/>
              <w:jc w:val="center"/>
            </w:pPr>
            <w:r>
              <w:rPr>
                <w:rFonts w:hint="eastAsia"/>
              </w:rPr>
              <w:t>0.8863</w:t>
            </w:r>
          </w:p>
        </w:tc>
        <w:tc>
          <w:tcPr>
            <w:tcW w:w="0" w:type="auto"/>
            <w:tcBorders>
              <w:top w:val="nil"/>
              <w:left w:val="nil"/>
              <w:bottom w:val="nil"/>
              <w:right w:val="nil"/>
            </w:tcBorders>
            <w:shd w:val="clear" w:color="auto" w:fill="FFFFFF"/>
            <w:tcMar>
              <w:top w:w="60" w:type="dxa"/>
              <w:left w:w="120" w:type="dxa"/>
              <w:bottom w:w="30" w:type="dxa"/>
              <w:right w:w="120" w:type="dxa"/>
            </w:tcMar>
          </w:tcPr>
          <w:p w14:paraId="5F5ACD37">
            <w:pPr>
              <w:keepNext/>
              <w:keepLines/>
              <w:jc w:val="center"/>
            </w:pPr>
            <w:r>
              <w:rPr>
                <w:rFonts w:hint="eastAsia"/>
              </w:rPr>
              <w:t>0.9772</w:t>
            </w:r>
          </w:p>
        </w:tc>
      </w:tr>
      <w:tr w14:paraId="068F5B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smv</w:t>
            </w:r>
            <w:r>
              <w:rPr>
                <w:rFonts w:ascii="Times New Roman" w:hAnsi="Times New Roman" w:eastAsia="Times New Roman"/>
                <w:b w:val="0"/>
                <w:i w:val="0"/>
                <w:sz w:val="15"/>
              </w:rPr>
              <w:t xml:space="preserve"> (C=13, ref.)</w:t>
            </w:r>
          </w:p>
        </w:tc>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14:paraId="44D614A0">
            <w:pPr>
              <w:keepLines/>
              <w:jc w:val="center"/>
            </w:pPr>
            <w:r>
              <w:rPr>
                <w:rFonts w:hint="eastAsia"/>
              </w:rPr>
              <w:t>95.34</w:t>
            </w:r>
          </w:p>
        </w:tc>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14:paraId="2FD48AA7">
            <w:pPr>
              <w:keepLines/>
              <w:jc w:val="center"/>
            </w:pPr>
            <w:r>
              <w:rPr>
                <w:rFonts w:hint="eastAsia"/>
              </w:rPr>
              <w:t>0.9342</w:t>
            </w:r>
          </w:p>
        </w:tc>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14:paraId="460B9821">
            <w:pPr>
              <w:keepLines/>
              <w:jc w:val="center"/>
            </w:pPr>
            <w:r>
              <w:rPr>
                <w:rFonts w:hint="eastAsia"/>
              </w:rPr>
              <w:t>0.9867</w:t>
            </w:r>
          </w:p>
        </w:tc>
      </w:tr>
      <w:tr>
        <w:trPr>
          <w:cantSplit/>
        </w:trPr>
        <w:tc>
          <w:tcPr>
            <w:tcW w:type="dxa" w:w="1346"/>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(raw sum)</w:t>
            </w:r>
          </w:p>
        </w:tc>
        <w:tc>
          <w:tcPr>
            <w:tcW w:type="dxa" w:w="1356"/>
          </w:tcPr>
          <w:p>
            <w:pPr>
              <w:spacing w:before="0" w:after="0" w:line="240" w:lineRule="auto"/>
              <w:jc w:val="center"/>
            </w:pPr>
            <w:r/>
            <w:r>
              <w:rPr>
                <w:rFonts w:ascii="Times New Roman" w:hAnsi="Times New Roman" w:eastAsia="Songti SC"/>
                <w:b w:val="0"/>
                <w:i w:val="0"/>
                <w:color w:val="000000"/>
                <w:sz w:val="15"/>
              </w:rPr>
              <w:t>92.25</w:t>
            </w:r>
          </w:p>
        </w:tc>
        <w:tc>
          <w:tcPr>
            <w:tcW w:type="dxa" w:w="974"/>
          </w:tcPr>
          <w:p>
            <w:pPr>
              <w:spacing w:before="0" w:after="0" w:line="240" w:lineRule="auto"/>
              <w:jc w:val="center"/>
            </w:pPr>
            <w:r/>
            <w:r>
              <w:rPr>
                <w:rFonts w:ascii="Times New Roman" w:hAnsi="Times New Roman" w:eastAsia="Songti SC"/>
                <w:b w:val="0"/>
                <w:i w:val="0"/>
                <w:color w:val="000000"/>
                <w:sz w:val="15"/>
              </w:rPr>
              <w:t>0.8877</w:t>
            </w:r>
          </w:p>
        </w:tc>
        <w:tc>
          <w:tcPr>
            <w:tcW w:type="dxa" w:w="790"/>
          </w:tcPr>
          <w:p>
            <w:pPr>
              <w:spacing w:before="0" w:after="0" w:line="240" w:lineRule="auto"/>
              <w:jc w:val="center"/>
            </w:pPr>
            <w:r/>
            <w:r>
              <w:rPr>
                <w:rFonts w:ascii="Times New Roman" w:hAnsi="Times New Roman" w:eastAsia="Songti SC"/>
                <w:b w:val="0"/>
                <w:i w:val="0"/>
                <w:color w:val="000000"/>
                <w:sz w:val="15"/>
              </w:rPr>
              <w:t>0.9772</w:t>
            </w:r>
          </w:p>
        </w:tc>
      </w:tr>
    </w:tbl>
    <w:p>
      <w:pPr>
        <w:spacing w:before="0" w:after="0" w:line="80" w:lineRule="exact"/>
      </w:pPr>
      <w:r>
        <w:rPr>
          <w:sz w:val="2"/>
        </w:rPr>
        <w:t> </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651760" cy="1386687"/>
                  <wp:docPr id="8" name="Picture 8"/>
                  <wp:cNvGraphicFramePr>
                    <a:graphicFrameLocks noChangeAspect="1"/>
                  </wp:cNvGraphicFramePr>
                  <a:graphic>
                    <a:graphicData uri="http://schemas.openxmlformats.org/drawingml/2006/picture">
                      <pic:pic>
                        <pic:nvPicPr>
                          <pic:cNvPr id="0" name="fig09.png"/>
                          <pic:cNvPicPr/>
                        </pic:nvPicPr>
                        <pic:blipFill>
                          <a:blip r:embed="rId143"/>
                          <a:stretch>
                            <a:fillRect/>
                          </a:stretch>
                        </pic:blipFill>
                        <pic:spPr>
                          <a:xfrm>
                            <a:off x="0" y="0"/>
                            <a:ext cx="2651760" cy="1386687"/>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9. Visual comparison of five representations: (a)-(c) the three decomposition components; (d), (e) the two descriptors (ours).</w:t>
            </w:r>
          </w:p>
        </w:tc>
      </w:tr>
    </w:tbl>
    <w:p w14:paraId="17DC4AE8">
      <w:pPr>
        <w:pStyle w:val="37"/>
      </w:pPr>
      <w:r>
        <w:rPr>
          <w:rFonts w:ascii="Times New Roman" w:hAnsi="Times New Roman" w:eastAsia="Songti SC"/>
          <w:b w:val="0"/>
          <w:i w:val="0"/>
          <w:color w:val="000000"/>
          <w:sz w:val="20"/>
        </w:rPr>
        <w:t xml:space="preserve">As the sea-dominated component,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s</w:t>
      </w:r>
      <w:r>
        <w:rPr>
          <w:rFonts w:ascii="Times New Roman" w:hAnsi="Times New Roman" w:eastAsia="Songti SC"/>
          <w:b w:val="0"/>
          <w:i w:val="0"/>
          <w:color w:val="000000"/>
          <w:sz w:val="20"/>
        </w:rPr>
        <w:t xml:space="preserve"> is anti-correlated with ship membership: its raw AUC is 0.3132, equivalent to 0.6868 after sign inversion, which reflects that surface scattering dominates the sea, not the ship.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and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provide basic discrimination, with AUCs of 0.8223 and 0.8950.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mv</w:t>
      </w:r>
      <w:r>
        <w:rPr>
          <w:rFonts w:ascii="Times New Roman" w:hAnsi="Times New Roman" w:eastAsia="Songti SC"/>
          <w:b w:val="0"/>
          <w:i w:val="0"/>
          <w:color w:val="000000"/>
          <w:sz w:val="20"/>
        </w:rPr>
        <w:t xml:space="preserve"> reaches 92.17% accuracy, 7.57 points above the best single component, and an AUC of 0.9772, 8.22 points above it; however, the raw sum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reaches 92.25% and the same AUC of 0.9772. The gain of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mv</w:t>
      </w:r>
      <w:r>
        <w:rPr>
          <w:rFonts w:ascii="Times New Roman" w:hAnsi="Times New Roman" w:eastAsia="Songti SC"/>
          <w:b w:val="0"/>
          <w:i w:val="0"/>
          <w:color w:val="000000"/>
          <w:sz w:val="20"/>
        </w:rPr>
        <w:t xml:space="preserve"> is therefore not in ranking but in the bounded (0,1) output and its calibration for the detector. The 13-node variant reaches 95.34% and an AUC of 0.9867; it is reported as a high-complexity reference and is not used in detection.</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369751"/>
                  <wp:docPr id="9" name="Picture 9"/>
                  <wp:cNvGraphicFramePr>
                    <a:graphicFrameLocks noChangeAspect="1"/>
                  </wp:cNvGraphicFramePr>
                  <a:graphic>
                    <a:graphicData uri="http://schemas.openxmlformats.org/drawingml/2006/picture">
                      <pic:pic>
                        <pic:nvPicPr>
                          <pic:cNvPr id="0" name="fig10.png"/>
                          <pic:cNvPicPr/>
                        </pic:nvPicPr>
                        <pic:blipFill>
                          <a:blip r:embed="rId144"/>
                          <a:stretch>
                            <a:fillRect/>
                          </a:stretch>
                        </pic:blipFill>
                        <pic:spPr>
                          <a:xfrm>
                            <a:off x="0" y="0"/>
                            <a:ext cx="2971800" cy="1369751"/>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10. ROC comparison of twelve representations on the 1:2 balanced test sample.</w:t>
            </w:r>
          </w:p>
        </w:tc>
      </w:tr>
    </w:tbl>
    <w:p w14:paraId="79863E1B">
      <w:pPr>
        <w:pStyle w:val="37"/>
      </w:pPr>
      <w:r>
        <w:rPr>
          <w:rFonts w:ascii="Times New Roman" w:hAnsi="Times New Roman" w:eastAsia="Songti SC"/>
          <w:b w:val="0"/>
          <w:i w:val="0"/>
          <w:sz w:val="20"/>
        </w:rPr>
        <w:t xml:space="preserve">The results indicate that the descriptor preserves the ranking information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while providing a bounded, closed-form output. It is more accurate than individual components and handcrafted features, but it does not add new ranking information.</w:t>
      </w:r>
    </w:p>
    <w:p w14:paraId="6A9ABF34">
      <w:pPr>
        <w:pStyle w:val="37"/>
      </w:pPr>
    </w:p>
    <w:p w14:paraId="7F2DEE19">
      <w:pPr>
        <w:pStyle w:val="37"/>
        <w:rPr>
          <w:rFonts w:eastAsiaTheme="minorEastAsia"/>
          <w:lang w:eastAsia="zh-CN"/>
        </w:r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p w14:paraId="6B5FA6FD">
      <w:pPr>
        <w:keepNext/>
        <w:widowControl w:val="0"/>
        <w:spacing w:line="252" w:lineRule="auto"/>
        <w:ind w:firstLine="202"/>
        <w:jc w:val="center"/>
        <w:rPr>
          <w:rFonts w:eastAsia="宋体"/>
          <w:lang w:eastAsia="zh-CN"/>
        </w:rPr>
      </w:pPr>
      <w:r>
        <w:rPr>
          <w:rFonts w:ascii="Times New Roman" w:hAnsi="Times New Roman" w:eastAsia="Songti SC"/>
          <w:sz w:val="20"/>
        </w:rPr>
        <w:t xml:space="preserve">TABLE V</w:t>
      </w:r>
      <w:r>
        <w:rPr>
          <w:rFonts w:ascii="Times New Roman" w:hAnsi="Times New Roman" w:eastAsia="Songti SC"/>
          <w:sz w:val="20"/>
        </w:rPr>
        <w:br/>
      </w:r>
      <w:r>
        <w:rPr>
          <w:rFonts w:ascii="Times New Roman" w:hAnsi="Times New Roman" w:eastAsia="Songti SC"/>
          <w:b w:val="0"/>
          <w:sz w:val="20"/>
        </w:rPr>
        <w:t>Single-Channel Detection Performance of YOLOv8n at the Validation-Selected Operating Point</w:t>
      </w:r>
    </w:p>
    <w:tbl>
      <w:tblPr>
        <w:tblStyle w:val="23"/>
        <w:tblW w:w="0" w:type="auto"/>
        <w:tblInd w:w="0" w:type="dxa"/>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Layout w:type="autofit"/>
        <w:tblCellMar>
          <w:top w:w="0" w:type="dxa"/>
          <w:left w:w="10" w:type="dxa"/>
          <w:bottom w:w="0" w:type="dxa"/>
          <w:right w:w="10" w:type="dxa"/>
        </w:tblCellMar>
      </w:tblPr>
      <w:tblGrid>
        <w:gridCol w:w="891"/>
        <w:gridCol w:w="1023"/>
        <w:gridCol w:w="789"/>
        <w:gridCol w:w="1086"/>
        <w:gridCol w:w="1491"/>
      </w:tblGrid>
      <w:tr w14:paraId="7442DD43">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Input Feature</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Precision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Recall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mAP@0.5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F1 (%)</w:t>
            </w:r>
          </w:p>
        </w:tc>
      </w:tr>
      <w:tr w14:paraId="72300651">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s</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74.2</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65.2</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71.1</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69.4</w:t>
            </w:r>
          </w:p>
        </w:tc>
      </w:tr>
      <w:tr w14:paraId="605A08E5">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72.0</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66.9</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73.2</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69.4</w:t>
            </w:r>
          </w:p>
        </w:tc>
      </w:tr>
      <w:tr w14:paraId="47EA5E72">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v</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79.3</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67.4</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74.3</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72.9</w:t>
            </w:r>
          </w:p>
        </w:tc>
      </w:tr>
      <w:tr w14:paraId="689E6066">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(ours)</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80.1</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66.7</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76.5</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72.8</w:t>
            </w:r>
          </w:p>
        </w:tc>
      </w:tr>
      <w:tr>
        <w:trPr>
          <w:cantSplit/>
        </w:trPr>
        <w:tc>
          <w:tcPr>
            <w:tcW w:type="dxa" w:w="891"/>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(raw sum)</w:t>
            </w:r>
          </w:p>
        </w:tc>
        <w:tc>
          <w:tcPr>
            <w:tcW w:type="dxa" w:w="1023"/>
          </w:tcPr>
          <w:p>
            <w:pPr>
              <w:spacing w:before="0" w:after="0" w:line="180" w:lineRule="exact"/>
              <w:jc w:val="center"/>
            </w:pPr>
            <w:r/>
            <w:r>
              <w:rPr>
                <w:rFonts w:ascii="Times New Roman" w:hAnsi="Times New Roman" w:eastAsia="Songti SC"/>
                <w:b w:val="0"/>
                <w:i w:val="0"/>
                <w:color w:val="000000"/>
                <w:sz w:val="15"/>
              </w:rPr>
              <w:t>74.8</w:t>
            </w:r>
          </w:p>
        </w:tc>
        <w:tc>
          <w:tcPr>
            <w:tcW w:type="dxa" w:w="789"/>
          </w:tcPr>
          <w:p>
            <w:pPr>
              <w:spacing w:before="0" w:after="0" w:line="180" w:lineRule="exact"/>
              <w:jc w:val="center"/>
            </w:pPr>
            <w:r/>
            <w:r>
              <w:rPr>
                <w:rFonts w:ascii="Times New Roman" w:hAnsi="Times New Roman" w:eastAsia="Songti SC"/>
                <w:b w:val="0"/>
                <w:i w:val="0"/>
                <w:color w:val="000000"/>
                <w:sz w:val="15"/>
              </w:rPr>
              <w:t>66.1</w:t>
            </w:r>
          </w:p>
        </w:tc>
        <w:tc>
          <w:tcPr>
            <w:tcW w:type="dxa" w:w="1086"/>
          </w:tcPr>
          <w:p>
            <w:pPr>
              <w:spacing w:before="0" w:after="0" w:line="180" w:lineRule="exact"/>
              <w:jc w:val="center"/>
            </w:pPr>
            <w:r/>
            <w:r>
              <w:rPr>
                <w:rFonts w:ascii="Times New Roman" w:hAnsi="Times New Roman" w:eastAsia="Songti SC"/>
                <w:b w:val="0"/>
                <w:i w:val="0"/>
                <w:color w:val="000000"/>
                <w:sz w:val="15"/>
              </w:rPr>
              <w:t>73.7</w:t>
            </w:r>
          </w:p>
        </w:tc>
        <w:tc>
          <w:tcPr>
            <w:tcW w:type="dxa" w:w="1491"/>
          </w:tcPr>
          <w:p>
            <w:pPr>
              <w:spacing w:before="0" w:after="0" w:line="180" w:lineRule="exact"/>
              <w:jc w:val="center"/>
            </w:pPr>
            <w:r/>
            <w:r>
              <w:rPr>
                <w:rFonts w:ascii="Times New Roman" w:hAnsi="Times New Roman" w:eastAsia="Songti SC"/>
                <w:b w:val="0"/>
                <w:i w:val="0"/>
                <w:color w:val="000000"/>
                <w:sz w:val="15"/>
              </w:rPr>
              <w:t>70.2</w:t>
            </w:r>
          </w:p>
        </w:tc>
      </w:tr>
    </w:tbl>
    <w:p w14:paraId="19FA934D">
      <w:pPr>
        <w:pStyle w:val="3"/>
        <w:numPr>
          <w:ilvl w:val="0"/>
          <w:numId w:val="0"/>
        </w:numPr>
      </w:pPr>
      <w:r>
        <w:rPr>
          <w:rFonts w:ascii="Times New Roman" w:hAnsi="Times New Roman" w:eastAsia="Songti SC"/>
          <w:b/>
          <w:sz w:val="20"/>
        </w:rPr>
        <w:t>D. Target-Level Detection and Architecture Generalization</w:t>
      </w:r>
    </w:p>
    <w:p w14:paraId="6574B8BF">
      <w:pPr>
        <w:pStyle w:val="37"/>
      </w:pPr>
      <w:r>
        <w:rPr>
          <w:rFonts w:ascii="Times New Roman" w:hAnsi="Times New Roman" w:eastAsia="Songti SC"/>
          <w:sz w:val="20"/>
        </w:rPr>
        <w:t>In this section, the detection effectiveness and engineering application value of the mined explicit descriptor are systematically verified from three dimensions: single-feature condition, component replacement, and cross-architecture generalization.</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200654"/>
                  <wp:docPr id="10" name="Picture 10"/>
                  <wp:cNvGraphicFramePr>
                    <a:graphicFrameLocks noChangeAspect="1"/>
                  </wp:cNvGraphicFramePr>
                  <a:graphic>
                    <a:graphicData uri="http://schemas.openxmlformats.org/drawingml/2006/picture">
                      <pic:pic>
                        <pic:nvPicPr>
                          <pic:cNvPr id="0" name="fig11.png"/>
                          <pic:cNvPicPr/>
                        </pic:nvPicPr>
                        <pic:blipFill>
                          <a:blip r:embed="rId145"/>
                          <a:stretch>
                            <a:fillRect/>
                          </a:stretch>
                        </pic:blipFill>
                        <pic:spPr>
                          <a:xfrm>
                            <a:off x="0" y="0"/>
                            <a:ext cx="2971800" cy="1200654"/>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Times New Roman"/>
                <w:b w:val="0"/>
                <w:i w:val="0"/>
                <w:sz w:val="15"/>
              </w:rPr>
              <w:t xml:space="preserve">Fig. 11. Visual detection results of YOLOv8n with different input features: (a) ship binary mask; (b)-(f) single-channel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(ours), and </w:t>
            </w:r>
            <w:r>
              <w:rPr>
                <w:rFonts w:ascii="Times New Roman" w:hAnsi="Times New Roman" w:eastAsia="Times New Roman"/>
                <w:b w:val="0"/>
                <w:i/>
                <w:sz w:val="15"/>
              </w:rPr>
              <w:t>P</w:t>
            </w:r>
            <w:r>
              <w:rPr>
                <w:rFonts w:ascii="Times New Roman" w:hAnsi="Times New Roman" w:eastAsia="Times New Roman"/>
                <w:b w:val="0"/>
                <w:i/>
                <w:sz w:val="15"/>
                <w:vertAlign w:val="subscript"/>
              </w:rPr>
              <w:t>smv</w:t>
            </w:r>
            <w:r>
              <w:rPr>
                <w:rFonts w:ascii="Times New Roman" w:hAnsi="Times New Roman" w:eastAsia="Times New Roman"/>
                <w:b w:val="0"/>
                <w:i w:val="0"/>
                <w:sz w:val="15"/>
              </w:rPr>
              <w:t xml:space="preserve"> (ours).</w:t>
            </w:r>
          </w:p>
        </w:tc>
      </w:tr>
    </w:tbl>
    <w:p w14:paraId="46117010">
      <w:pPr>
        <w:pStyle w:val="37"/>
        <w:keepNext/>
        <w:rPr>
          <w:rFonts w:eastAsiaTheme="minorEastAsia"/>
          <w:lang w:eastAsia="zh-CN"/>
        </w:rPr>
      </w:pPr>
      <w:r>
        <w:rPr>
          <w:rFonts w:ascii="Times New Roman" w:hAnsi="Times New Roman" w:eastAsia="Songti SC"/>
          <w:sz w:val="20"/>
        </w:rPr>
        <w:t>In the single-channel experiment, each polarimetric feature is used as the sole input channel of YOLOv8n. The results are shown in Table V, with visual results in Fig. 11 and PR curves in Fig. 13(a).</w:t>
      </w:r>
    </w:p>
    <w:p w14:paraId="7981D4EF">
      <w:pPr>
        <w:pStyle w:val="37"/>
        <w:ind w:firstLine="0"/>
      </w:pPr>
      <w:r>
        <w:rPr>
          <w:rFonts w:ascii="Times New Roman" w:hAnsi="Times New Roman" w:eastAsia="Songti SC"/>
          <w:b w:val="0"/>
          <w:i w:val="0"/>
          <w:sz w:val="20"/>
        </w:rPr>
        <w:t xml:space="preserve">The single-channel mAP@0.5 of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is 0.765, higher than the raw sum (0.737) and the three traditional single features (0.711–0.743). Because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and the raw sum have the same AUC, this gain is attributed to the bounded output scale, which reduces the dynamic range that the detector must learn. </w:t>
      </w:r>
      <w:r>
        <w:rPr>
          <w:rFonts w:ascii="Times New Roman" w:hAnsi="Times New Roman" w:eastAsia="Songti SC"/>
          <w:b w:val="0"/>
          <w:i/>
          <w:sz w:val="20"/>
        </w:rPr>
        <w:t>P</w:t>
      </w:r>
      <w:r>
        <w:rPr>
          <w:rFonts w:ascii="Times New Roman" w:hAnsi="Times New Roman" w:eastAsia="Songti SC"/>
          <w:b w:val="0"/>
          <w:i/>
          <w:sz w:val="20"/>
          <w:vertAlign w:val="subscript"/>
        </w:rPr>
        <w:t>smv</w:t>
      </w:r>
      <w:r>
        <w:rPr>
          <w:rFonts w:ascii="Times New Roman" w:hAnsi="Times New Roman" w:eastAsia="Songti SC"/>
          <w:b w:val="0"/>
          <w:i w:val="0"/>
          <w:sz w:val="20"/>
        </w:rPr>
        <w:t xml:space="preserve"> is not included in the detection comparison: its 13-node expression is less interpretable and its pixel-level gain is small.</w:t>
      </w:r>
    </w:p>
    <w:p w14:paraId="6E779164">
      <w:pPr>
        <w:pStyle w:val="37"/>
        <w:rPr>
          <w:rFonts w:ascii="Arial" w:hAnsi="Arial" w:eastAsia="等线" w:cs="Arial"/>
          <w:sz w:val="22"/>
          <w:lang w:eastAsia="zh-CN"/>
        </w:r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p w14:paraId="7EA058A3">
      <w:pPr>
        <w:keepNext/>
        <w:widowControl w:val="0"/>
        <w:spacing w:line="252" w:lineRule="auto"/>
        <w:ind w:firstLine="202"/>
        <w:jc w:val="center"/>
        <w:rPr>
          <w:rFonts w:eastAsia="宋体"/>
          <w:lang w:eastAsia="zh-CN"/>
        </w:rPr>
      </w:pPr>
      <w:r>
        <w:rPr>
          <w:rFonts w:ascii="Times New Roman" w:hAnsi="Times New Roman" w:eastAsia="Songti SC"/>
          <w:b w:val="0"/>
          <w:i w:val="0"/>
          <w:color w:val="000000"/>
          <w:sz w:val="20"/>
        </w:rPr>
        <w:t>TABLE VI</w:t>
      </w:r>
      <w:r>
        <w:rPr>
          <w:rFonts w:ascii="Times New Roman" w:hAnsi="Times New Roman" w:eastAsia="Songti SC"/>
          <w:sz w:val="20"/>
        </w:rPr>
        <w:br/>
      </w:r>
      <w:r>
        <w:rPr>
          <w:rFonts w:ascii="Times New Roman" w:hAnsi="Times New Roman" w:eastAsia="Songti SC"/>
          <w:b w:val="0"/>
          <w:sz w:val="20"/>
        </w:rPr>
        <w:t>Three-Channel Detection Performance of YOLOv8n</w:t>
      </w:r>
    </w:p>
    <w:tbl>
      <w:tblPr>
        <w:tblStyle w:val="23"/>
        <w:tblW w:w="0" w:type="auto"/>
        <w:tblInd w:w="0" w:type="dxa"/>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Layout w:type="fixed"/>
        <w:tblCellMar>
          <w:top w:w="0" w:type="dxa"/>
          <w:left w:w="10" w:type="dxa"/>
          <w:bottom w:w="0" w:type="dxa"/>
          <w:right w:w="10" w:type="dxa"/>
        </w:tblCellMar>
      </w:tblPr>
      <w:tblGrid>
        <w:gridCol w:w="1192"/>
        <w:gridCol w:w="986"/>
        <w:gridCol w:w="803"/>
        <w:gridCol w:w="915"/>
        <w:gridCol w:w="1000"/>
      </w:tblGrid>
      <w:tr w14:paraId="10D0134D">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Input Feature</w:t>
            </w:r>
          </w:p>
        </w:tc>
        <w:tc>
          <w:tcPr>
            <w:tcW w:w="986"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Precision (%)</w:t>
            </w:r>
          </w:p>
        </w:tc>
        <w:tc>
          <w:tcPr>
            <w:tcW w:w="803"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Recall (%)</w:t>
            </w:r>
          </w:p>
        </w:tc>
        <w:tc>
          <w:tcPr>
            <w:tcW w:w="91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mAP@0.5 (%)</w:t>
            </w:r>
          </w:p>
        </w:tc>
        <w:tc>
          <w:tcPr>
            <w:tcW w:w="100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F1 (%)</w:t>
            </w:r>
          </w:p>
        </w:tc>
      </w:tr>
      <w:tr w14:paraId="0CC82754">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single" w:color="000000" w:sz="4" w:space="0"/>
              <w:left w:val="nil"/>
              <w:bottom w:val="nil"/>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w:t>
            </w:r>
          </w:p>
        </w:tc>
        <w:tc>
          <w:tcPr>
            <w:tcW w:w="986"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79.1</w:t>
            </w:r>
          </w:p>
        </w:tc>
        <w:tc>
          <w:tcPr>
            <w:tcW w:w="803"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73.5</w:t>
            </w:r>
          </w:p>
        </w:tc>
        <w:tc>
          <w:tcPr>
            <w:tcW w:w="915"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80.0</w:t>
            </w:r>
          </w:p>
        </w:tc>
        <w:tc>
          <w:tcPr>
            <w:tcW w:w="1000"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76.2</w:t>
            </w:r>
          </w:p>
        </w:tc>
      </w:tr>
      <w:tr w14:paraId="623FEB04">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nil"/>
              <w:left w:val="nil"/>
              <w:bottom w:val="nil"/>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w:t>
            </w:r>
          </w:p>
        </w:tc>
        <w:tc>
          <w:tcPr>
            <w:tcW w:w="986"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80.1</w:t>
            </w:r>
          </w:p>
        </w:tc>
        <w:tc>
          <w:tcPr>
            <w:tcW w:w="803"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76.8</w:t>
            </w:r>
          </w:p>
        </w:tc>
        <w:tc>
          <w:tcPr>
            <w:tcW w:w="915"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82.5</w:t>
            </w:r>
          </w:p>
        </w:tc>
        <w:tc>
          <w:tcPr>
            <w:tcW w:w="1000"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78.4</w:t>
            </w:r>
          </w:p>
        </w:tc>
      </w:tr>
      <w:tr w14:paraId="4C289B4B">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nil"/>
              <w:left w:val="nil"/>
              <w:bottom w:val="nil"/>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w:t>
            </w:r>
          </w:p>
        </w:tc>
        <w:tc>
          <w:tcPr>
            <w:tcW w:w="986" w:type="dxa"/>
            <w:tcBorders>
              <w:top w:val="nil"/>
              <w:left w:val="nil"/>
              <w:bottom w:val="nil"/>
              <w:right w:val="nil"/>
            </w:tcBorders>
            <w:shd w:val="clear" w:color="auto" w:fill="FFFFFF"/>
            <w:tcMar>
              <w:top w:w="60" w:type="dxa"/>
              <w:left w:w="120" w:type="dxa"/>
              <w:bottom w:w="30" w:type="dxa"/>
              <w:right w:w="120" w:type="dxa"/>
            </w:tcMar>
          </w:tcPr>
          <w:p>
            <w:r>
              <w:t>81.0</w:t>
            </w:r>
          </w:p>
        </w:tc>
        <w:tc>
          <w:tcPr>
            <w:tcW w:w="803"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69.9</w:t>
            </w:r>
          </w:p>
        </w:tc>
        <w:tc>
          <w:tcPr>
            <w:tcW w:w="915"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78.0</w:t>
            </w:r>
          </w:p>
        </w:tc>
        <w:tc>
          <w:tcPr>
            <w:tcW w:w="1000"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75.0</w:t>
            </w:r>
          </w:p>
        </w:tc>
      </w:tr>
      <w:tr w14:paraId="53B702EF">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nil"/>
              <w:left w:val="nil"/>
              <w:bottom w:val="single" w:color="000000" w:sz="12" w:space="0"/>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p>
        </w:tc>
        <w:tc>
          <w:tcPr>
            <w:tcW w:w="986"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79.6</w:t>
            </w:r>
          </w:p>
        </w:tc>
        <w:tc>
          <w:tcPr>
            <w:tcW w:w="803"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73.8</w:t>
            </w:r>
          </w:p>
        </w:tc>
        <w:tc>
          <w:tcPr>
            <w:tcW w:w="915"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79.1</w:t>
            </w:r>
          </w:p>
        </w:tc>
        <w:tc>
          <w:tcPr>
            <w:tcW w:w="1000"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76.6</w:t>
            </w:r>
          </w:p>
        </w:tc>
      </w:tr>
    </w:tbl>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619313"/>
                  <wp:docPr id="11" name="Picture 11"/>
                  <wp:cNvGraphicFramePr>
                    <a:graphicFrameLocks noChangeAspect="1"/>
                  </wp:cNvGraphicFramePr>
                  <a:graphic>
                    <a:graphicData uri="http://schemas.openxmlformats.org/drawingml/2006/picture">
                      <pic:pic>
                        <pic:nvPicPr>
                          <pic:cNvPr id="0" name="fig12.png"/>
                          <pic:cNvPicPr/>
                        </pic:nvPicPr>
                        <pic:blipFill>
                          <a:blip r:embed="rId146"/>
                          <a:stretch>
                            <a:fillRect/>
                          </a:stretch>
                        </pic:blipFill>
                        <pic:spPr>
                          <a:xfrm>
                            <a:off x="0" y="0"/>
                            <a:ext cx="2971800" cy="1619313"/>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Times New Roman"/>
                <w:b w:val="0"/>
                <w:i w:val="0"/>
                <w:sz w:val="15"/>
              </w:rPr>
              <w:t>Fig. 12. Visual detection results of YOLOv8n with different three-channel combinations: (a) ship binary mask; (b)-(e)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(best),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and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p>
        </w:tc>
      </w:tr>
    </w:tbl>
    <w:p w14:paraId="6B6B68B1">
      <w:pPr>
        <w:pStyle w:val="37"/>
        <w:rPr>
          <w:rFonts w:ascii="Arial" w:hAnsi="Arial" w:eastAsia="等线" w:cs="Arial"/>
          <w:sz w:val="22"/>
          <w:lang w:eastAsia="zh-CN"/>
        </w:rPr>
      </w:pPr>
      <w:r>
        <w:rPr>
          <w:rFonts w:ascii="Times New Roman" w:hAnsi="Times New Roman" w:eastAsia="Times New Roman"/>
          <w:b w:val="0"/>
          <w:i w:val="0"/>
          <w:sz w:val="20"/>
        </w:rPr>
        <w:t>With the conventional combination [</w:t>
      </w:r>
      <w:r>
        <w:rPr>
          <w:rFonts w:ascii="Times New Roman" w:hAnsi="Times New Roman" w:eastAsia="Times New Roman"/>
          <w:b w:val="0"/>
          <w:i/>
          <w:sz w:val="20"/>
        </w:rPr>
        <w:t>P</w:t>
      </w:r>
      <w:r>
        <w:rPr>
          <w:rFonts w:ascii="Times New Roman" w:hAnsi="Times New Roman" w:eastAsia="Times New Roman"/>
          <w:b w:val="0"/>
          <w:i/>
          <w:sz w:val="20"/>
          <w:vertAlign w:val="subscript"/>
        </w:rPr>
        <w:t>m</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v</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as the baseline, a new combination [</w:t>
      </w:r>
      <w:r>
        <w:rPr>
          <w:rFonts w:ascii="Times New Roman" w:hAnsi="Times New Roman" w:eastAsia="Times New Roman"/>
          <w:b w:val="0"/>
          <w:i/>
          <w:sz w:val="20"/>
        </w:rPr>
        <w:t>P</w:t>
      </w:r>
      <w:r>
        <w:rPr>
          <w:rFonts w:ascii="Times New Roman" w:hAnsi="Times New Roman" w:eastAsia="Times New Roman"/>
          <w:b w:val="0"/>
          <w:i/>
          <w:sz w:val="20"/>
          <w:vertAlign w:val="subscript"/>
        </w:rPr>
        <w:t>mv</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v</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is built by substituting </w:t>
      </w:r>
      <w:r>
        <w:rPr>
          <w:rFonts w:ascii="Times New Roman" w:hAnsi="Times New Roman" w:eastAsia="Times New Roman"/>
          <w:b w:val="0"/>
          <w:i/>
          <w:sz w:val="20"/>
        </w:rPr>
        <w:t>P</w:t>
      </w:r>
      <w:r>
        <w:rPr>
          <w:rFonts w:ascii="Times New Roman" w:hAnsi="Times New Roman" w:eastAsia="Times New Roman"/>
          <w:b w:val="0"/>
          <w:i/>
          <w:sz w:val="20"/>
          <w:vertAlign w:val="subscript"/>
        </w:rPr>
        <w:t>m</w:t>
      </w:r>
      <w:r>
        <w:rPr>
          <w:rFonts w:ascii="Times New Roman" w:hAnsi="Times New Roman" w:eastAsia="Times New Roman"/>
          <w:b w:val="0"/>
          <w:i w:val="0"/>
          <w:sz w:val="20"/>
        </w:rPr>
        <w:t xml:space="preserve"> with the descriptor. Precision rises from 79.1% to 80.1%, recall from 73.5% to 76.8%, and mAP@0.5 from 0.800 to 0.825 (Table VI). No other replacement improves both recall and mAP, so substituting </w:t>
      </w:r>
      <w:r>
        <w:rPr>
          <w:rFonts w:ascii="Times New Roman" w:hAnsi="Times New Roman" w:eastAsia="Times New Roman"/>
          <w:b w:val="0"/>
          <w:i/>
          <w:sz w:val="20"/>
        </w:rPr>
        <w:t>P</w:t>
      </w:r>
      <w:r>
        <w:rPr>
          <w:rFonts w:ascii="Times New Roman" w:hAnsi="Times New Roman" w:eastAsia="Times New Roman"/>
          <w:b w:val="0"/>
          <w:i/>
          <w:sz w:val="20"/>
          <w:vertAlign w:val="subscript"/>
        </w:rPr>
        <w:t>m</w:t>
      </w:r>
      <w:r>
        <w:rPr>
          <w:rFonts w:ascii="Times New Roman" w:hAnsi="Times New Roman" w:eastAsia="Times New Roman"/>
          <w:b w:val="0"/>
          <w:i w:val="0"/>
          <w:sz w:val="20"/>
        </w:rPr>
        <w:t xml:space="preserve"> is the selected scheme (PR curves in Fig. 13(b)). Visual results are shown in Fig. 12.</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303983"/>
                  <wp:docPr id="12" name="Picture 12"/>
                  <wp:cNvGraphicFramePr>
                    <a:graphicFrameLocks noChangeAspect="1"/>
                  </wp:cNvGraphicFramePr>
                  <a:graphic>
                    <a:graphicData uri="http://schemas.openxmlformats.org/drawingml/2006/picture">
                      <pic:pic>
                        <pic:nvPicPr>
                          <pic:cNvPr id="0" name="fig13.png"/>
                          <pic:cNvPicPr/>
                        </pic:nvPicPr>
                        <pic:blipFill>
                          <a:blip r:embed="rId147"/>
                          <a:stretch>
                            <a:fillRect/>
                          </a:stretch>
                        </pic:blipFill>
                        <pic:spPr>
                          <a:xfrm>
                            <a:off x="0" y="0"/>
                            <a:ext cx="2971800" cy="1303983"/>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13. PR curves of YOLOv8n: (a) single-channel inputs; (b) three-channel combinations.</w:t>
            </w:r>
          </w:p>
        </w:tc>
      </w:tr>
    </w:tbl>
    <w:p w14:paraId="659620A3">
      <w:pPr>
        <w:pStyle w:val="37"/>
        <w:rPr>
          <w:rFonts w:eastAsia="宋体"/>
          <w:lang w:eastAsia="zh-CN"/>
        </w:rPr>
      </w:pPr>
      <w:r>
        <w:rPr>
          <w:rFonts w:ascii="Times New Roman" w:hAnsi="Times New Roman" w:eastAsia="Songti SC"/>
          <w:b w:val="0"/>
          <w:i w:val="0"/>
          <w:sz w:val="20"/>
        </w:rPr>
        <w:t>The selected combination and the original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 xml:space="preserve">, </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w:t>
      </w:r>
      <w:r>
        <w:rPr>
          <w:rFonts w:ascii="Times New Roman" w:hAnsi="Times New Roman" w:eastAsia="Songti SC"/>
          <w:b w:val="0"/>
          <w:i/>
          <w:sz w:val="20"/>
        </w:rPr>
        <w:t>P</w:t>
      </w:r>
      <w:r>
        <w:rPr>
          <w:rFonts w:ascii="Times New Roman" w:hAnsi="Times New Roman" w:eastAsia="Songti SC"/>
          <w:b w:val="0"/>
          <w:i/>
          <w:sz w:val="20"/>
          <w:vertAlign w:val="subscript"/>
        </w:rPr>
        <w:t>s</w:t>
      </w:r>
      <w:r>
        <w:rPr>
          <w:rFonts w:ascii="Times New Roman" w:hAnsi="Times New Roman" w:eastAsia="Songti SC"/>
          <w:b w:val="0"/>
          <w:i w:val="0"/>
          <w:sz w:val="20"/>
        </w:rPr>
        <w:t xml:space="preserve">] are compared across four YOLO detectors (Table VII). All four improve in mAP@0.5, from +1.0 to +2.5 percentage points. All rows use 640×640 input and 300 epochs, so the controlled evidence is the within-architecture replacement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 xml:space="preserve"> by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Precision and recall trade off slightly in some rows: YOLOv11 precision rises from 78.7% to 82.4% and recall from 68.0% to 74.7%, while YOLO26 precision rises from 66.7% to 70.7% and recall falls from 66.5% to 65.7%. The mAP gain is therefore not uniform across metrics.</w:t>
      </w:r>
    </w:p>
    <w:p w14:paraId="09124293">
      <w:pPr>
        <w:keepNext/>
        <w:pageBreakBefore w:val="0"/>
        <w:widowControl w:val="0"/>
        <w:spacing w:line="252" w:lineRule="auto"/>
        <w:ind w:firstLine="202"/>
        <w:jc w:val="center"/>
      </w:pPr>
      <w:r>
        <w:rPr>
          <w:rFonts w:ascii="Times New Roman" w:hAnsi="Times New Roman" w:eastAsia="Songti SC"/>
          <w:b/>
          <w:sz w:val="20"/>
        </w:rPr>
        <w:t>TABLE VII</w:t>
        <w:br/>
        <w:t>Performance Comparison of Four YOLO Detectors</w:t>
      </w:r>
    </w:p>
    <w:tbl>
      <w:tblPr>
        <w:tblW w:type="dxa" w:w="4824"/>
        <w:jc w:val="center"/>
        <w:tblLayout w:type="fixed"/>
        <w:tblLook w:firstColumn="1" w:firstRow="1" w:lastColumn="0" w:lastRow="0" w:noHBand="0" w:noVBand="1" w:val="04A0"/>
        <w:tblLayout w:type="fixed"/>
        <w:tblBorders>
          <w:top w:val="single" w:sz="4" w:space="0" w:color="000000"/>
          <w:left w:val="nil"/>
          <w:bottom w:val="single" w:sz="4" w:space="0" w:color="000000"/>
          <w:right w:val="nil"/>
          <w:insideH w:val="nil"/>
          <w:insideV w:val="nil"/>
        </w:tblBorders>
        <w:tblCellMar>
          <w:top w:w="10" w:type="dxa"/>
          <w:left w:w="50" w:type="dxa"/>
          <w:bottom w:w="10" w:type="dxa"/>
          <w:right w:w="50" w:type="dxa"/>
        </w:tblCellMar>
      </w:tblPr>
      <w:tblGrid>
        <w:gridCol w:w="965"/>
        <w:gridCol w:w="965"/>
        <w:gridCol w:w="965"/>
        <w:gridCol w:w="965"/>
        <w:gridCol w:w="965"/>
      </w:tblGrid>
      <w:tr>
        <w:trPr>
          <w:cantSplit/>
        </w:trPr>
        <w:tc>
          <w:tcPr>
            <w:tcW w:type="dxa" w:w="965"/>
            <w:tcBorders>
              <w:bottom w:val="single" w:sz="4" w:space="0" w:color="000000"/>
            </w:tcBorders>
          </w:tcPr>
          <w:p>
            <w:pPr>
              <w:jc w:val="center"/>
            </w:pPr>
            <w:r>
              <w:rPr>
                <w:rFonts w:ascii="Times New Roman" w:hAnsi="Times New Roman"/>
                <w:sz w:val="15"/>
                <w:b/>
              </w:rPr>
              <w:t>Detection Network</w:t>
            </w:r>
          </w:p>
        </w:tc>
        <w:tc>
          <w:tcPr>
            <w:tcW w:type="dxa" w:w="965"/>
            <w:tcBorders>
              <w:bottom w:val="single" w:sz="4" w:space="0" w:color="000000"/>
            </w:tcBorders>
          </w:tcPr>
          <w:p>
            <w:pPr>
              <w:jc w:val="center"/>
            </w:pPr>
            <w:r>
              <w:rPr>
                <w:rFonts w:ascii="Times New Roman" w:hAnsi="Times New Roman"/>
                <w:sz w:val="15"/>
                <w:b/>
              </w:rPr>
              <w:t>Baseline P/R (%)</w:t>
            </w:r>
          </w:p>
        </w:tc>
        <w:tc>
          <w:tcPr>
            <w:tcW w:type="dxa" w:w="965"/>
            <w:tcBorders>
              <w:bottom w:val="single" w:sz="4" w:space="0" w:color="000000"/>
            </w:tcBorders>
          </w:tcPr>
          <w:p>
            <w:pPr>
              <w:jc w:val="center"/>
            </w:pPr>
            <w:r>
              <w:rPr>
                <w:rFonts w:ascii="Times New Roman" w:hAnsi="Times New Roman"/>
                <w:sz w:val="15"/>
                <w:b/>
              </w:rPr>
              <w:t>Ours P/R (%)</w:t>
            </w:r>
          </w:p>
        </w:tc>
        <w:tc>
          <w:tcPr>
            <w:tcW w:type="dxa" w:w="965"/>
            <w:tcBorders>
              <w:bottom w:val="single" w:sz="4" w:space="0" w:color="000000"/>
            </w:tcBorders>
          </w:tcPr>
          <w:p>
            <w:pPr>
              <w:jc w:val="center"/>
            </w:pPr>
            <w:r>
              <w:rPr>
                <w:rFonts w:ascii="Times New Roman" w:hAnsi="Times New Roman"/>
                <w:sz w:val="15"/>
                <w:b/>
              </w:rPr>
              <w:t>Baseline mAP@0.5/F1</w:t>
            </w:r>
          </w:p>
        </w:tc>
        <w:tc>
          <w:tcPr>
            <w:tcW w:type="dxa" w:w="965"/>
            <w:tcBorders>
              <w:bottom w:val="single" w:sz="4" w:space="0" w:color="000000"/>
            </w:tcBorders>
          </w:tcPr>
          <w:p>
            <w:pPr>
              <w:jc w:val="center"/>
            </w:pPr>
            <w:r>
              <w:rPr>
                <w:rFonts w:ascii="Times New Roman" w:hAnsi="Times New Roman"/>
                <w:sz w:val="15"/>
                <w:b/>
              </w:rPr>
              <w:t>Ours mAP@0.5/F1</w:t>
            </w:r>
          </w:p>
        </w:tc>
      </w:tr>
      <w:tr>
        <w:trPr>
          <w:cantSplit/>
        </w:trPr>
        <w:tc>
          <w:tcPr>
            <w:tcW w:type="dxa" w:w="965"/>
          </w:tcPr>
          <w:p>
            <w:pPr>
              <w:jc w:val="center"/>
            </w:pPr>
            <w:r>
              <w:rPr>
                <w:rFonts w:ascii="Times New Roman" w:hAnsi="Times New Roman"/>
                <w:sz w:val="15"/>
              </w:rPr>
              <w:t>YOLOv8</w:t>
            </w:r>
          </w:p>
        </w:tc>
        <w:tc>
          <w:tcPr>
            <w:tcW w:type="dxa" w:w="965"/>
          </w:tcPr>
          <w:p>
            <w:pPr>
              <w:jc w:val="center"/>
            </w:pPr>
            <w:r>
              <w:rPr>
                <w:rFonts w:ascii="Times New Roman" w:hAnsi="Times New Roman"/>
                <w:sz w:val="15"/>
              </w:rPr>
              <w:t>79.1/73.5</w:t>
            </w:r>
          </w:p>
        </w:tc>
        <w:tc>
          <w:tcPr>
            <w:tcW w:type="dxa" w:w="965"/>
          </w:tcPr>
          <w:p>
            <w:pPr>
              <w:jc w:val="center"/>
            </w:pPr>
            <w:r>
              <w:rPr>
                <w:rFonts w:ascii="Times New Roman" w:hAnsi="Times New Roman"/>
                <w:sz w:val="15"/>
              </w:rPr>
              <w:t>80.1/76.8</w:t>
            </w:r>
          </w:p>
        </w:tc>
        <w:tc>
          <w:tcPr>
            <w:tcW w:type="dxa" w:w="965"/>
          </w:tcPr>
          <w:p>
            <w:pPr>
              <w:jc w:val="center"/>
            </w:pPr>
            <w:r>
              <w:rPr>
                <w:rFonts w:ascii="Times New Roman" w:hAnsi="Times New Roman"/>
                <w:sz w:val="15"/>
              </w:rPr>
              <w:t>80.0/76.2</w:t>
            </w:r>
          </w:p>
        </w:tc>
        <w:tc>
          <w:tcPr>
            <w:tcW w:type="dxa" w:w="965"/>
          </w:tcPr>
          <w:p>
            <w:pPr>
              <w:jc w:val="center"/>
            </w:pPr>
            <w:r>
              <w:rPr>
                <w:rFonts w:ascii="Times New Roman" w:hAnsi="Times New Roman"/>
                <w:sz w:val="15"/>
              </w:rPr>
              <w:t>82.5/78.4</w:t>
            </w:r>
          </w:p>
        </w:tc>
      </w:tr>
      <w:tr>
        <w:trPr>
          <w:cantSplit/>
        </w:trPr>
        <w:tc>
          <w:tcPr>
            <w:tcW w:type="dxa" w:w="965"/>
          </w:tcPr>
          <w:p>
            <w:pPr>
              <w:jc w:val="center"/>
            </w:pPr>
            <w:r>
              <w:rPr>
                <w:rFonts w:ascii="Times New Roman" w:hAnsi="Times New Roman"/>
                <w:sz w:val="15"/>
              </w:rPr>
              <w:t>YOLOv11</w:t>
            </w:r>
          </w:p>
        </w:tc>
        <w:tc>
          <w:tcPr>
            <w:tcW w:type="dxa" w:w="965"/>
          </w:tcPr>
          <w:p>
            <w:pPr>
              <w:jc w:val="center"/>
            </w:pPr>
            <w:r>
              <w:rPr>
                <w:rFonts w:ascii="Times New Roman" w:hAnsi="Times New Roman"/>
                <w:sz w:val="15"/>
              </w:rPr>
              <w:t>78.7/68.0</w:t>
            </w:r>
          </w:p>
        </w:tc>
        <w:tc>
          <w:tcPr>
            <w:tcW w:type="dxa" w:w="965"/>
          </w:tcPr>
          <w:p>
            <w:pPr>
              <w:jc w:val="center"/>
            </w:pPr>
            <w:r>
              <w:rPr>
                <w:rFonts w:ascii="Times New Roman" w:hAnsi="Times New Roman"/>
                <w:sz w:val="15"/>
              </w:rPr>
              <w:t>82.4/74.7</w:t>
            </w:r>
          </w:p>
        </w:tc>
        <w:tc>
          <w:tcPr>
            <w:tcW w:type="dxa" w:w="965"/>
          </w:tcPr>
          <w:p>
            <w:pPr>
              <w:jc w:val="center"/>
            </w:pPr>
            <w:r>
              <w:rPr>
                <w:rFonts w:ascii="Times New Roman" w:hAnsi="Times New Roman"/>
                <w:sz w:val="15"/>
              </w:rPr>
              <w:t>78.7/72.9</w:t>
            </w:r>
          </w:p>
        </w:tc>
        <w:tc>
          <w:tcPr>
            <w:tcW w:type="dxa" w:w="965"/>
          </w:tcPr>
          <w:p>
            <w:pPr>
              <w:jc w:val="center"/>
            </w:pPr>
            <w:r>
              <w:rPr>
                <w:rFonts w:ascii="Times New Roman" w:hAnsi="Times New Roman"/>
                <w:sz w:val="15"/>
              </w:rPr>
              <w:t>80.9/78.4</w:t>
            </w:r>
          </w:p>
        </w:tc>
      </w:tr>
      <w:tr>
        <w:trPr>
          <w:cantSplit/>
        </w:trPr>
        <w:tc>
          <w:tcPr>
            <w:tcW w:type="dxa" w:w="965"/>
          </w:tcPr>
          <w:p>
            <w:pPr>
              <w:jc w:val="center"/>
            </w:pPr>
            <w:r>
              <w:rPr>
                <w:rFonts w:ascii="Times New Roman" w:hAnsi="Times New Roman"/>
                <w:sz w:val="15"/>
              </w:rPr>
              <w:t>YOLOv12</w:t>
            </w:r>
          </w:p>
        </w:tc>
        <w:tc>
          <w:tcPr>
            <w:tcW w:type="dxa" w:w="965"/>
          </w:tcPr>
          <w:p>
            <w:pPr>
              <w:jc w:val="center"/>
            </w:pPr>
            <w:r>
              <w:rPr>
                <w:rFonts w:ascii="Times New Roman" w:hAnsi="Times New Roman"/>
                <w:sz w:val="15"/>
              </w:rPr>
              <w:t>77.6/69.3</w:t>
            </w:r>
          </w:p>
        </w:tc>
        <w:tc>
          <w:tcPr>
            <w:tcW w:type="dxa" w:w="965"/>
          </w:tcPr>
          <w:p>
            <w:pPr>
              <w:jc w:val="center"/>
            </w:pPr>
            <w:r>
              <w:rPr>
                <w:rFonts w:ascii="Times New Roman" w:hAnsi="Times New Roman"/>
                <w:sz w:val="15"/>
              </w:rPr>
              <w:t>77.7/70.5</w:t>
            </w:r>
          </w:p>
        </w:tc>
        <w:tc>
          <w:tcPr>
            <w:tcW w:type="dxa" w:w="965"/>
          </w:tcPr>
          <w:p>
            <w:pPr>
              <w:jc w:val="center"/>
            </w:pPr>
            <w:r>
              <w:rPr>
                <w:rFonts w:ascii="Times New Roman" w:hAnsi="Times New Roman"/>
                <w:sz w:val="15"/>
              </w:rPr>
              <w:t>76.6/73.2</w:t>
            </w:r>
          </w:p>
        </w:tc>
        <w:tc>
          <w:tcPr>
            <w:tcW w:type="dxa" w:w="965"/>
          </w:tcPr>
          <w:p>
            <w:pPr>
              <w:jc w:val="center"/>
            </w:pPr>
            <w:r>
              <w:rPr>
                <w:rFonts w:ascii="Times New Roman" w:hAnsi="Times New Roman"/>
                <w:sz w:val="15"/>
              </w:rPr>
              <w:t>77.6/73.9</w:t>
            </w:r>
          </w:p>
        </w:tc>
      </w:tr>
      <w:tr>
        <w:trPr>
          <w:cantSplit/>
        </w:trPr>
        <w:tc>
          <w:tcPr>
            <w:tcW w:type="dxa" w:w="965"/>
          </w:tcPr>
          <w:p>
            <w:pPr>
              <w:jc w:val="center"/>
            </w:pPr>
            <w:r>
              <w:rPr>
                <w:rFonts w:ascii="Times New Roman" w:hAnsi="Times New Roman"/>
                <w:sz w:val="15"/>
              </w:rPr>
              <w:t>YOLO26</w:t>
            </w:r>
          </w:p>
        </w:tc>
        <w:tc>
          <w:tcPr>
            <w:tcW w:type="dxa" w:w="965"/>
          </w:tcPr>
          <w:p>
            <w:pPr>
              <w:jc w:val="center"/>
            </w:pPr>
            <w:r>
              <w:rPr>
                <w:rFonts w:ascii="Times New Roman" w:hAnsi="Times New Roman"/>
                <w:sz w:val="15"/>
              </w:rPr>
              <w:t>66.7/66.5</w:t>
            </w:r>
          </w:p>
        </w:tc>
        <w:tc>
          <w:tcPr>
            <w:tcW w:type="dxa" w:w="965"/>
          </w:tcPr>
          <w:p>
            <w:pPr>
              <w:jc w:val="center"/>
            </w:pPr>
            <w:r>
              <w:rPr>
                <w:rFonts w:ascii="Times New Roman" w:hAnsi="Times New Roman"/>
                <w:sz w:val="15"/>
              </w:rPr>
              <w:t>70.7/65.7</w:t>
            </w:r>
          </w:p>
        </w:tc>
        <w:tc>
          <w:tcPr>
            <w:tcW w:type="dxa" w:w="965"/>
          </w:tcPr>
          <w:p>
            <w:pPr>
              <w:jc w:val="center"/>
            </w:pPr>
            <w:r>
              <w:rPr>
                <w:rFonts w:ascii="Times New Roman" w:hAnsi="Times New Roman"/>
                <w:sz w:val="15"/>
              </w:rPr>
              <w:t>69.7/66.6</w:t>
            </w:r>
          </w:p>
        </w:tc>
        <w:tc>
          <w:tcPr>
            <w:tcW w:type="dxa" w:w="965"/>
          </w:tcPr>
          <w:p>
            <w:pPr>
              <w:jc w:val="center"/>
            </w:pPr>
            <w:r>
              <w:rPr>
                <w:rFonts w:ascii="Times New Roman" w:hAnsi="Times New Roman"/>
                <w:sz w:val="15"/>
              </w:rPr>
              <w:t>71.1/68.1</w:t>
            </w:r>
          </w:p>
        </w:tc>
      </w:tr>
    </w:tbl>
    <w:p>
      <w:pPr>
        <w:spacing w:before="40" w:after="40"/>
        <w:jc w:val="left"/>
      </w:pPr>
      <w:r>
        <w:rPr>
          <w:rFonts w:ascii="Times New Roman" w:hAnsi="Times New Roman" w:eastAsia="Times New Roman"/>
          <w:b w:val="0"/>
          <w:i w:val="0"/>
          <w:sz w:val="15"/>
        </w:rPr>
        <w:t xml:space="preserve">Note: all four rows use 640 × 640 input and 300 epochs. The controlled comparison is the within-row replacement of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by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absolute scores across architectures are not directly comparable.</w:t>
      </w:r>
    </w:p>
    <w:p>
      <w:pPr>
        <w:pStyle w:val="3"/>
      </w:pPr>
      <w:r>
        <w:rPr>
          <w:rFonts w:ascii="Times New Roman" w:hAnsi="Times New Roman" w:eastAsia="Songti SC"/>
          <w:b/>
          <w:sz w:val="20"/>
        </w:rPr>
        <w:t>E. Pixel-Level Extraction With Two-Layer Fusion</w:t>
      </w:r>
    </w:p>
    <w:p>
      <w:r>
        <w:rPr>
          <w:rFonts w:ascii="Times New Roman" w:hAnsi="Times New Roman" w:eastAsia="Songti SC"/>
          <w:sz w:val="20"/>
        </w:rPr>
        <w:t>The intelligent layer carries a prototype-mask pixel branch trained with the hard labels inside candidate boxes. The branch outputs a pixel-level ship probability for each box. The general layer thresholds the explicit descriptor inside the same box, and the two pixel-level evidence maps are combined by a logical OR, followed by connected-component filtering and a minimum-area rule.</w:t>
      </w:r>
    </w:p>
    <w:p>
      <w:r>
        <w:rPr>
          <w:rFonts w:ascii="Times New Roman" w:hAnsi="Times New Roman" w:eastAsia="Songti SC"/>
          <w:sz w:val="20"/>
        </w:rPr>
        <w:t>Table VIII reports the pixel-level results on the 122 test tiles that passed the mask-image consistency check. The two-layer fusion reaches 59.8% precision, 57.1% recall, 58.4% F1 and 41.3% IoU. The single-threshold in-box descriptor has the highest precision (61.5%) but lower F1, while the fusion gives the best F1 and IoU. The difference is small, and the main benefit of the two-layer design is that it outputs both candidate boxes and pixel-level contours while keeping the descriptor evidence inspectable. Fig. 14 visualizes the four stages.</w:t>
      </w:r>
    </w:p>
    <w:p>
      <w:pPr>
        <w:pageBreakBefore w:val="0"/>
        <w:jc w:val="center"/>
        <w:keepNext/>
      </w:pPr>
      <w:r>
        <w:rPr>
          <w:rFonts w:ascii="Times New Roman" w:hAnsi="Times New Roman" w:eastAsia="Songti SC"/>
          <w:b/>
          <w:sz w:val="15"/>
        </w:rPr>
        <w:t>TABLE VIII</w:t>
        <w:br/>
        <w:t>Pixel-Level Extraction Performance of the Two-Layer Framework</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Ind w:w="0" w:type="dxa"/>
      </w:tblPr>
      <w:tblGrid>
        <w:gridCol w:w="4824"/>
        <w:gridCol w:w="4824"/>
        <w:gridCol w:w="4824"/>
        <w:gridCol w:w="4824"/>
        <w:gridCol w:w="4824"/>
      </w:tblGrid>
      <w:tr>
        <w:trPr>
          <w:cantSplit/>
        </w:trPr>
        <w:tc>
          <w:tcPr>
            <w:tcW w:type="dxa" w:w="4824"/>
          </w:tcPr>
          <w:p>
            <w:pPr>
              <w:jc w:val="center"/>
            </w:pPr>
            <w:r/>
            <w:r>
              <w:rPr>
                <w:rFonts w:ascii="Times New Roman" w:hAnsi="Times New Roman" w:eastAsia="Songti SC"/>
                <w:b/>
                <w:sz w:val="14"/>
              </w:rPr>
              <w:t>Scheme</w:t>
            </w:r>
          </w:p>
        </w:tc>
        <w:tc>
          <w:tcPr>
            <w:tcW w:type="dxa" w:w="4824"/>
          </w:tcPr>
          <w:p>
            <w:pPr>
              <w:jc w:val="center"/>
            </w:pPr>
            <w:r/>
            <w:r>
              <w:rPr>
                <w:rFonts w:ascii="Times New Roman" w:hAnsi="Times New Roman" w:eastAsia="Songti SC"/>
                <w:b/>
                <w:sz w:val="14"/>
              </w:rPr>
              <w:t>Prec.</w:t>
            </w:r>
          </w:p>
        </w:tc>
        <w:tc>
          <w:tcPr>
            <w:tcW w:type="dxa" w:w="4824"/>
          </w:tcPr>
          <w:p>
            <w:pPr>
              <w:jc w:val="center"/>
            </w:pPr>
            <w:r/>
            <w:r>
              <w:rPr>
                <w:rFonts w:ascii="Times New Roman" w:hAnsi="Times New Roman" w:eastAsia="Songti SC"/>
                <w:b/>
                <w:sz w:val="14"/>
              </w:rPr>
              <w:t>Rec.</w:t>
            </w:r>
          </w:p>
        </w:tc>
        <w:tc>
          <w:tcPr>
            <w:tcW w:type="dxa" w:w="4824"/>
          </w:tcPr>
          <w:p>
            <w:pPr>
              <w:jc w:val="center"/>
            </w:pPr>
            <w:r/>
            <w:r>
              <w:rPr>
                <w:rFonts w:ascii="Times New Roman" w:hAnsi="Times New Roman" w:eastAsia="Songti SC"/>
                <w:b/>
                <w:sz w:val="14"/>
              </w:rPr>
              <w:t>F1</w:t>
            </w:r>
          </w:p>
        </w:tc>
        <w:tc>
          <w:tcPr>
            <w:tcW w:type="dxa" w:w="4824"/>
          </w:tcPr>
          <w:p>
            <w:pPr>
              <w:jc w:val="center"/>
            </w:pPr>
            <w:r/>
            <w:r>
              <w:rPr>
                <w:rFonts w:ascii="Times New Roman" w:hAnsi="Times New Roman" w:eastAsia="Songti SC"/>
                <w:b/>
                <w:sz w:val="14"/>
              </w:rPr>
              <w:t>IoU</w:t>
            </w:r>
          </w:p>
        </w:tc>
      </w:tr>
      <w:tr>
        <w:trPr>
          <w:cantSplit/>
        </w:trPr>
        <w:tc>
          <w:tcPr>
            <w:tcW w:type="dxa" w:w="4824"/>
          </w:tcPr>
          <w:p>
            <w:pPr>
              <w:jc w:val="left"/>
            </w:pPr>
            <w:r/>
            <w:r>
              <w:rPr>
                <w:rFonts w:ascii="Times New Roman" w:hAnsi="Times New Roman" w:eastAsia="Songti SC"/>
                <w:sz w:val="13"/>
              </w:rPr>
              <w:t>Global descriptor</w:t>
            </w:r>
          </w:p>
        </w:tc>
        <w:tc>
          <w:tcPr>
            <w:tcW w:type="dxa" w:w="4824"/>
          </w:tcPr>
          <w:p>
            <w:pPr>
              <w:spacing w:before="0" w:after="0"/>
              <w:jc w:val="center"/>
            </w:pPr>
            <w:r/>
            <w:r>
              <w:rPr>
                <w:rFonts w:ascii="Times New Roman" w:hAnsi="Times New Roman" w:eastAsia="Songti SC"/>
                <w:sz w:val="14"/>
              </w:rPr>
              <w:t>0.281</w:t>
            </w:r>
          </w:p>
        </w:tc>
        <w:tc>
          <w:tcPr>
            <w:tcW w:type="dxa" w:w="4824"/>
          </w:tcPr>
          <w:p>
            <w:pPr>
              <w:spacing w:before="0" w:after="0"/>
              <w:jc w:val="center"/>
            </w:pPr>
            <w:r/>
            <w:r>
              <w:rPr>
                <w:rFonts w:ascii="Times New Roman" w:hAnsi="Times New Roman" w:eastAsia="Songti SC"/>
                <w:sz w:val="14"/>
              </w:rPr>
              <w:t>0.249</w:t>
            </w:r>
          </w:p>
        </w:tc>
        <w:tc>
          <w:tcPr>
            <w:tcW w:type="dxa" w:w="4824"/>
          </w:tcPr>
          <w:p>
            <w:pPr>
              <w:spacing w:before="0" w:after="0"/>
              <w:jc w:val="center"/>
            </w:pPr>
            <w:r/>
            <w:r>
              <w:rPr>
                <w:rFonts w:ascii="Times New Roman" w:hAnsi="Times New Roman" w:eastAsia="Songti SC"/>
                <w:sz w:val="14"/>
              </w:rPr>
              <w:t>0.264</w:t>
            </w:r>
          </w:p>
        </w:tc>
        <w:tc>
          <w:tcPr>
            <w:tcW w:type="dxa" w:w="4824"/>
          </w:tcPr>
          <w:p>
            <w:pPr>
              <w:spacing w:before="0" w:after="0"/>
              <w:jc w:val="center"/>
            </w:pPr>
            <w:r/>
            <w:r>
              <w:rPr>
                <w:rFonts w:ascii="Times New Roman" w:hAnsi="Times New Roman" w:eastAsia="Songti SC"/>
                <w:sz w:val="14"/>
              </w:rPr>
              <w:t>0.152</w:t>
            </w:r>
          </w:p>
        </w:tc>
      </w:tr>
      <w:tr>
        <w:trPr>
          <w:cantSplit/>
        </w:trPr>
        <w:tc>
          <w:tcPr>
            <w:tcW w:type="dxa" w:w="4824"/>
          </w:tcPr>
          <w:p>
            <w:pPr>
              <w:jc w:val="left"/>
            </w:pPr>
            <w:r>
              <w:rPr>
                <w:rFonts w:ascii="Times New Roman" w:hAnsi="Times New Roman" w:eastAsia="Times New Roman"/>
                <w:b w:val="0"/>
                <w:i w:val="0"/>
                <w:sz w:val="13"/>
              </w:rPr>
              <w:t xml:space="preserve">Global </w:t>
            </w:r>
            <w:r>
              <w:rPr>
                <w:rFonts w:ascii="Times New Roman" w:hAnsi="Times New Roman" w:eastAsia="Times New Roman"/>
                <w:b w:val="0"/>
                <w:i/>
                <w:sz w:val="13"/>
              </w:rPr>
              <w:t>P</w:t>
            </w:r>
            <w:r>
              <w:rPr>
                <w:rFonts w:ascii="Times New Roman" w:hAnsi="Times New Roman" w:eastAsia="Times New Roman"/>
                <w:b w:val="0"/>
                <w:i/>
                <w:sz w:val="13"/>
                <w:vertAlign w:val="subscript"/>
              </w:rPr>
              <w:t>m</w:t>
            </w:r>
          </w:p>
        </w:tc>
        <w:tc>
          <w:tcPr>
            <w:tcW w:type="dxa" w:w="4824"/>
          </w:tcPr>
          <w:p>
            <w:pPr>
              <w:spacing w:before="0" w:after="0"/>
              <w:jc w:val="center"/>
            </w:pPr>
            <w:r/>
            <w:r>
              <w:rPr>
                <w:rFonts w:ascii="Times New Roman" w:hAnsi="Times New Roman" w:eastAsia="Songti SC"/>
                <w:sz w:val="14"/>
              </w:rPr>
              <w:t>0.257</w:t>
            </w:r>
          </w:p>
        </w:tc>
        <w:tc>
          <w:tcPr>
            <w:tcW w:type="dxa" w:w="4824"/>
          </w:tcPr>
          <w:p>
            <w:pPr>
              <w:spacing w:before="0" w:after="0"/>
              <w:jc w:val="center"/>
            </w:pPr>
            <w:r/>
            <w:r>
              <w:rPr>
                <w:rFonts w:ascii="Times New Roman" w:hAnsi="Times New Roman" w:eastAsia="Songti SC"/>
                <w:sz w:val="14"/>
              </w:rPr>
              <w:t>0.276</w:t>
            </w:r>
          </w:p>
        </w:tc>
        <w:tc>
          <w:tcPr>
            <w:tcW w:type="dxa" w:w="4824"/>
          </w:tcPr>
          <w:p>
            <w:pPr>
              <w:spacing w:before="0" w:after="0"/>
              <w:jc w:val="center"/>
            </w:pPr>
            <w:r/>
            <w:r>
              <w:rPr>
                <w:rFonts w:ascii="Times New Roman" w:hAnsi="Times New Roman" w:eastAsia="Songti SC"/>
                <w:sz w:val="14"/>
              </w:rPr>
              <w:t>0.266</w:t>
            </w:r>
          </w:p>
        </w:tc>
        <w:tc>
          <w:tcPr>
            <w:tcW w:type="dxa" w:w="4824"/>
          </w:tcPr>
          <w:p>
            <w:pPr>
              <w:spacing w:before="0" w:after="0"/>
              <w:jc w:val="center"/>
            </w:pPr>
            <w:r/>
            <w:r>
              <w:rPr>
                <w:rFonts w:ascii="Times New Roman" w:hAnsi="Times New Roman" w:eastAsia="Songti SC"/>
                <w:sz w:val="14"/>
              </w:rPr>
              <w:t>0.154</w:t>
            </w:r>
          </w:p>
        </w:tc>
      </w:tr>
      <w:tr>
        <w:trPr>
          <w:cantSplit/>
        </w:trPr>
        <w:tc>
          <w:tcPr>
            <w:tcW w:type="dxa" w:w="4824"/>
          </w:tcPr>
          <w:p>
            <w:pPr>
              <w:jc w:val="left"/>
            </w:pPr>
            <w:r/>
            <w:r>
              <w:rPr>
                <w:rFonts w:ascii="Times New Roman" w:hAnsi="Times New Roman" w:eastAsia="Songti SC"/>
                <w:sz w:val="13"/>
              </w:rPr>
              <w:t>Boxes only</w:t>
            </w:r>
          </w:p>
        </w:tc>
        <w:tc>
          <w:tcPr>
            <w:tcW w:type="dxa" w:w="4824"/>
          </w:tcPr>
          <w:p>
            <w:pPr>
              <w:spacing w:before="0" w:after="0"/>
              <w:jc w:val="center"/>
            </w:pPr>
            <w:r/>
            <w:r>
              <w:rPr>
                <w:rFonts w:ascii="Times New Roman" w:hAnsi="Times New Roman" w:eastAsia="Songti SC"/>
                <w:sz w:val="14"/>
              </w:rPr>
              <w:t>0.224</w:t>
            </w:r>
          </w:p>
        </w:tc>
        <w:tc>
          <w:tcPr>
            <w:tcW w:type="dxa" w:w="4824"/>
          </w:tcPr>
          <w:p>
            <w:pPr>
              <w:spacing w:before="0" w:after="0"/>
              <w:jc w:val="center"/>
            </w:pPr>
            <w:r/>
            <w:r>
              <w:rPr>
                <w:rFonts w:ascii="Times New Roman" w:hAnsi="Times New Roman" w:eastAsia="Songti SC"/>
                <w:sz w:val="14"/>
              </w:rPr>
              <w:t>0.793</w:t>
            </w:r>
          </w:p>
        </w:tc>
        <w:tc>
          <w:tcPr>
            <w:tcW w:type="dxa" w:w="4824"/>
          </w:tcPr>
          <w:p>
            <w:pPr>
              <w:spacing w:before="0" w:after="0"/>
              <w:jc w:val="center"/>
            </w:pPr>
            <w:r/>
            <w:r>
              <w:rPr>
                <w:rFonts w:ascii="Times New Roman" w:hAnsi="Times New Roman" w:eastAsia="Songti SC"/>
                <w:sz w:val="14"/>
              </w:rPr>
              <w:t>0.349</w:t>
            </w:r>
          </w:p>
        </w:tc>
        <w:tc>
          <w:tcPr>
            <w:tcW w:type="dxa" w:w="4824"/>
          </w:tcPr>
          <w:p>
            <w:pPr>
              <w:spacing w:before="0" w:after="0"/>
              <w:jc w:val="center"/>
            </w:pPr>
            <w:r/>
            <w:r>
              <w:rPr>
                <w:rFonts w:ascii="Times New Roman" w:hAnsi="Times New Roman" w:eastAsia="Songti SC"/>
                <w:sz w:val="14"/>
              </w:rPr>
              <w:t>0.212</w:t>
            </w:r>
          </w:p>
        </w:tc>
      </w:tr>
      <w:tr>
        <w:trPr>
          <w:cantSplit/>
        </w:trPr>
        <w:tc>
          <w:tcPr>
            <w:tcW w:type="dxa" w:w="4824"/>
          </w:tcPr>
          <w:p>
            <w:pPr>
              <w:jc w:val="left"/>
            </w:pPr>
            <w:r/>
            <w:r>
              <w:rPr>
                <w:rFonts w:ascii="Times New Roman" w:hAnsi="Times New Roman" w:eastAsia="Songti SC"/>
                <w:sz w:val="13"/>
              </w:rPr>
              <w:t>Descriptor, single T</w:t>
            </w:r>
          </w:p>
        </w:tc>
        <w:tc>
          <w:tcPr>
            <w:tcW w:type="dxa" w:w="4824"/>
          </w:tcPr>
          <w:p>
            <w:pPr>
              <w:spacing w:before="0" w:after="0"/>
              <w:jc w:val="center"/>
            </w:pPr>
            <w:r/>
            <w:r>
              <w:rPr>
                <w:rFonts w:ascii="Times New Roman" w:hAnsi="Times New Roman" w:eastAsia="Songti SC"/>
                <w:sz w:val="14"/>
              </w:rPr>
              <w:t>0.615</w:t>
            </w:r>
          </w:p>
        </w:tc>
        <w:tc>
          <w:tcPr>
            <w:tcW w:type="dxa" w:w="4824"/>
          </w:tcPr>
          <w:p>
            <w:pPr>
              <w:spacing w:before="0" w:after="0"/>
              <w:jc w:val="center"/>
            </w:pPr>
            <w:r/>
            <w:r>
              <w:rPr>
                <w:rFonts w:ascii="Times New Roman" w:hAnsi="Times New Roman" w:eastAsia="Songti SC"/>
                <w:sz w:val="14"/>
              </w:rPr>
              <w:t>0.543</w:t>
            </w:r>
          </w:p>
        </w:tc>
        <w:tc>
          <w:tcPr>
            <w:tcW w:type="dxa" w:w="4824"/>
          </w:tcPr>
          <w:p>
            <w:pPr>
              <w:spacing w:before="0" w:after="0"/>
              <w:jc w:val="center"/>
            </w:pPr>
            <w:r/>
            <w:r>
              <w:rPr>
                <w:rFonts w:ascii="Times New Roman" w:hAnsi="Times New Roman" w:eastAsia="Songti SC"/>
                <w:sz w:val="14"/>
              </w:rPr>
              <w:t>0.577</w:t>
            </w:r>
          </w:p>
        </w:tc>
        <w:tc>
          <w:tcPr>
            <w:tcW w:type="dxa" w:w="4824"/>
          </w:tcPr>
          <w:p>
            <w:pPr>
              <w:spacing w:before="0" w:after="0"/>
              <w:jc w:val="center"/>
            </w:pPr>
            <w:r/>
            <w:r>
              <w:rPr>
                <w:rFonts w:ascii="Times New Roman" w:hAnsi="Times New Roman" w:eastAsia="Songti SC"/>
                <w:sz w:val="14"/>
              </w:rPr>
              <w:t>0.405</w:t>
            </w:r>
          </w:p>
        </w:tc>
      </w:tr>
      <w:tr>
        <w:trPr>
          <w:cantSplit/>
        </w:trPr>
        <w:tc>
          <w:tcPr>
            <w:tcW w:type="dxa" w:w="4824"/>
          </w:tcPr>
          <w:p>
            <w:pPr>
              <w:jc w:val="left"/>
            </w:pPr>
            <w:r/>
            <w:r>
              <w:rPr>
                <w:rFonts w:ascii="Times New Roman" w:hAnsi="Times New Roman" w:eastAsia="Songti SC"/>
                <w:sz w:val="13"/>
              </w:rPr>
              <w:t>Descriptor, double T</w:t>
            </w:r>
          </w:p>
        </w:tc>
        <w:tc>
          <w:tcPr>
            <w:tcW w:type="dxa" w:w="4824"/>
          </w:tcPr>
          <w:p>
            <w:pPr>
              <w:spacing w:before="0" w:after="0"/>
              <w:jc w:val="center"/>
            </w:pPr>
            <w:r/>
            <w:r>
              <w:rPr>
                <w:rFonts w:ascii="Times New Roman" w:hAnsi="Times New Roman" w:eastAsia="Songti SC"/>
                <w:sz w:val="14"/>
              </w:rPr>
              <w:t>0.574</w:t>
            </w:r>
          </w:p>
        </w:tc>
        <w:tc>
          <w:tcPr>
            <w:tcW w:type="dxa" w:w="4824"/>
          </w:tcPr>
          <w:p>
            <w:pPr>
              <w:spacing w:before="0" w:after="0"/>
              <w:jc w:val="center"/>
            </w:pPr>
            <w:r/>
            <w:r>
              <w:rPr>
                <w:rFonts w:ascii="Times New Roman" w:hAnsi="Times New Roman" w:eastAsia="Songti SC"/>
                <w:sz w:val="14"/>
              </w:rPr>
              <w:t>0.584</w:t>
            </w:r>
          </w:p>
        </w:tc>
        <w:tc>
          <w:tcPr>
            <w:tcW w:type="dxa" w:w="4824"/>
          </w:tcPr>
          <w:p>
            <w:pPr>
              <w:spacing w:before="0" w:after="0"/>
              <w:jc w:val="center"/>
            </w:pPr>
            <w:r/>
            <w:r>
              <w:rPr>
                <w:rFonts w:ascii="Times New Roman" w:hAnsi="Times New Roman" w:eastAsia="Songti SC"/>
                <w:sz w:val="14"/>
              </w:rPr>
              <w:t>0.579</w:t>
            </w:r>
          </w:p>
        </w:tc>
        <w:tc>
          <w:tcPr>
            <w:tcW w:type="dxa" w:w="4824"/>
          </w:tcPr>
          <w:p>
            <w:pPr>
              <w:spacing w:before="0" w:after="0"/>
              <w:jc w:val="center"/>
            </w:pPr>
            <w:r/>
            <w:r>
              <w:rPr>
                <w:rFonts w:ascii="Times New Roman" w:hAnsi="Times New Roman" w:eastAsia="Songti SC"/>
                <w:sz w:val="14"/>
              </w:rPr>
              <w:t>0.407</w:t>
            </w:r>
          </w:p>
        </w:tc>
      </w:tr>
      <w:tr>
        <w:trPr>
          <w:cantSplit/>
        </w:trPr>
        <w:tc>
          <w:tcPr>
            <w:tcW w:type="dxa" w:w="4824"/>
          </w:tcPr>
          <w:p>
            <w:pPr>
              <w:jc w:val="left"/>
            </w:pPr>
            <w:r/>
            <w:r>
              <w:rPr>
                <w:rFonts w:ascii="Times New Roman" w:hAnsi="Times New Roman" w:eastAsia="Songti SC"/>
                <w:sz w:val="13"/>
              </w:rPr>
              <w:t>Pixel branch</w:t>
            </w:r>
          </w:p>
        </w:tc>
        <w:tc>
          <w:tcPr>
            <w:tcW w:type="dxa" w:w="4824"/>
          </w:tcPr>
          <w:p>
            <w:pPr>
              <w:spacing w:before="0" w:after="0"/>
              <w:jc w:val="center"/>
            </w:pPr>
            <w:r/>
            <w:r>
              <w:rPr>
                <w:rFonts w:ascii="Times New Roman" w:hAnsi="Times New Roman" w:eastAsia="Songti SC"/>
                <w:sz w:val="14"/>
              </w:rPr>
              <w:t>0.609</w:t>
            </w:r>
          </w:p>
        </w:tc>
        <w:tc>
          <w:tcPr>
            <w:tcW w:type="dxa" w:w="4824"/>
          </w:tcPr>
          <w:p>
            <w:pPr>
              <w:spacing w:before="0" w:after="0"/>
              <w:jc w:val="center"/>
            </w:pPr>
            <w:r/>
            <w:r>
              <w:rPr>
                <w:rFonts w:ascii="Times New Roman" w:hAnsi="Times New Roman" w:eastAsia="Songti SC"/>
                <w:sz w:val="14"/>
              </w:rPr>
              <w:t>0.550</w:t>
            </w:r>
          </w:p>
        </w:tc>
        <w:tc>
          <w:tcPr>
            <w:tcW w:type="dxa" w:w="4824"/>
          </w:tcPr>
          <w:p>
            <w:pPr>
              <w:spacing w:before="0" w:after="0"/>
              <w:jc w:val="center"/>
            </w:pPr>
            <w:r/>
            <w:r>
              <w:rPr>
                <w:rFonts w:ascii="Times New Roman" w:hAnsi="Times New Roman" w:eastAsia="Songti SC"/>
                <w:sz w:val="14"/>
              </w:rPr>
              <w:t>0.578</w:t>
            </w:r>
          </w:p>
        </w:tc>
        <w:tc>
          <w:tcPr>
            <w:tcW w:type="dxa" w:w="4824"/>
          </w:tcPr>
          <w:p>
            <w:pPr>
              <w:spacing w:before="0" w:after="0"/>
              <w:jc w:val="center"/>
            </w:pPr>
            <w:r/>
            <w:r>
              <w:rPr>
                <w:rFonts w:ascii="Times New Roman" w:hAnsi="Times New Roman" w:eastAsia="Songti SC"/>
                <w:sz w:val="14"/>
              </w:rPr>
              <w:t>0.407</w:t>
            </w:r>
          </w:p>
        </w:tc>
      </w:tr>
      <w:tr>
        <w:trPr>
          <w:cantSplit/>
        </w:trPr>
        <w:tc>
          <w:tcPr>
            <w:tcW w:type="dxa" w:w="4824"/>
          </w:tcPr>
          <w:p>
            <w:pPr>
              <w:jc w:val="left"/>
            </w:pPr>
            <w:r/>
            <w:r>
              <w:rPr>
                <w:rFonts w:ascii="Times New Roman" w:hAnsi="Times New Roman" w:eastAsia="Songti SC"/>
                <w:sz w:val="13"/>
              </w:rPr>
              <w:t>Fusion (OR)</w:t>
            </w:r>
          </w:p>
        </w:tc>
        <w:tc>
          <w:tcPr>
            <w:tcW w:type="dxa" w:w="4824"/>
          </w:tcPr>
          <w:p>
            <w:pPr>
              <w:spacing w:before="0" w:after="0"/>
              <w:jc w:val="center"/>
            </w:pPr>
            <w:r/>
            <w:r>
              <w:rPr>
                <w:rFonts w:ascii="Times New Roman" w:hAnsi="Times New Roman" w:eastAsia="Songti SC"/>
                <w:sz w:val="14"/>
              </w:rPr>
              <w:t>0.598</w:t>
            </w:r>
          </w:p>
        </w:tc>
        <w:tc>
          <w:tcPr>
            <w:tcW w:type="dxa" w:w="4824"/>
          </w:tcPr>
          <w:p>
            <w:pPr>
              <w:spacing w:before="0" w:after="0"/>
              <w:jc w:val="center"/>
            </w:pPr>
            <w:r/>
            <w:r>
              <w:rPr>
                <w:rFonts w:ascii="Times New Roman" w:hAnsi="Times New Roman" w:eastAsia="Songti SC"/>
                <w:sz w:val="14"/>
              </w:rPr>
              <w:t>0.571</w:t>
            </w:r>
          </w:p>
        </w:tc>
        <w:tc>
          <w:tcPr>
            <w:tcW w:type="dxa" w:w="4824"/>
          </w:tcPr>
          <w:p>
            <w:pPr>
              <w:spacing w:before="0" w:after="0"/>
              <w:jc w:val="center"/>
            </w:pPr>
            <w:r/>
            <w:r>
              <w:rPr>
                <w:rFonts w:ascii="Times New Roman" w:hAnsi="Times New Roman" w:eastAsia="Songti SC"/>
                <w:sz w:val="14"/>
              </w:rPr>
              <w:t>0.584</w:t>
            </w:r>
          </w:p>
        </w:tc>
        <w:tc>
          <w:tcPr>
            <w:tcW w:type="dxa" w:w="4824"/>
          </w:tcPr>
          <w:p>
            <w:pPr>
              <w:spacing w:before="0" w:after="0"/>
              <w:jc w:val="center"/>
            </w:pPr>
            <w:r/>
            <w:r>
              <w:rPr>
                <w:rFonts w:ascii="Times New Roman" w:hAnsi="Times New Roman" w:eastAsia="Songti SC"/>
                <w:sz w:val="14"/>
              </w:rPr>
              <w:t>0.413</w:t>
            </w:r>
          </w:p>
        </w:tc>
      </w:tr>
    </w:tbl>
    <w:p>
      <w:pPr>
        <w:spacing w:before="40" w:after="80"/>
      </w:pPr>
      <w:r>
        <w:rPr>
          <w:rFonts w:ascii="Times New Roman" w:hAnsi="Times New Roman" w:eastAsia="Songti SC"/>
          <w:sz w:val="14"/>
        </w:rPr>
        <w:t>Operating points: global descriptor T=168, global Pm T=120, single threshold T=32, double threshold 128/16, pixel branch 0.20, fusion 0.20/96; A_min=16 in all rows.</w:t>
      </w:r>
    </w:p>
    <w:tbl>
      <w:tblPr>
        <w:jc w:val="center"/>
        <w:tblLook w:firstColumn="1" w:firstRow="1" w:lastColumn="0" w:lastRow="0" w:noHBand="0" w:noVBand="1" w:val="04A0"/>
        <w:tblW w:w="4824" w:type="dxa"/>
        <w:tblLayout w:type="fixed"/>
        <w:tblBorders>
          <w:top w:val="nil"/>
          <w:left w:val="nil"/>
          <w:bottom w:val="nil"/>
          <w:right w:val="nil"/>
          <w:insideH w:val="nil"/>
          <w:insideV w:val="nil"/>
        </w:tblBorders>
      </w:tblPr>
      <w:tblGrid>
        <w:gridCol w:w="10368"/>
      </w:tblGrid>
      <w:tr>
        <w:trPr>
          <w:cantSplit/>
        </w:trPr>
        <w:tc>
          <w:tcPr>
            <w:tcW w:type="dxa" w:w="4824"/>
          </w:tcPr>
          <w:p>
            <w:pPr>
              <w:jc w:val="center"/>
            </w:pPr>
            <w:r>
              <w:drawing>
                <wp:inline xmlns:a="http://schemas.openxmlformats.org/drawingml/2006/main" xmlns:pic="http://schemas.openxmlformats.org/drawingml/2006/picture">
                  <wp:extent cx="2926080" cy="1685147"/>
                  <wp:docPr id="17" name="Picture 17"/>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2926080" cy="1685147"/>
                          </a:xfrm>
                          <a:prstGeom prst="rect"/>
                        </pic:spPr>
                      </pic:pic>
                    </a:graphicData>
                  </a:graphic>
                </wp:inline>
              </w:drawing>
            </w:r>
          </w:p>
          <w:p>
            <w:pPr>
              <w:spacing w:before="40" w:after="80"/>
              <w:jc w:val="left"/>
            </w:pPr>
            <w:r>
              <w:rPr>
                <w:rFonts w:ascii="Times New Roman" w:hAnsi="Times New Roman" w:eastAsia="Songti SC"/>
                <w:sz w:val="15"/>
              </w:rPr>
              <w:t>Fig. 14. Step-by-step comparison of the two-layer decision: (a) explicit-descriptor response without boxes; (b) general layer alone on the full image; (c) intelligent layer alone (all pixels in the box are targets); (d) fusion within the box. Green, red and blue denote hits, false alarms and misses; white dashed boxes are candidate boxes.</w:t>
            </w:r>
          </w:p>
        </w:tc>
      </w:tr>
    </w:tbl>
    <w:p w14:paraId="3D003B3C">
      <w:pPr>
        <w:pStyle w:val="3"/>
        <w:numPr>
          <w:ilvl w:val="0"/>
          <w:numId w:val="0"/>
        </w:numPr>
      </w:pPr>
      <w:r>
        <w:rPr>
          <w:rFonts w:ascii="Times New Roman" w:hAnsi="Times New Roman" w:eastAsia="Songti SC"/>
          <w:b/>
          <w:sz w:val="20"/>
        </w:rPr>
        <w:t>F. Ablation Study</w:t>
      </w:r>
    </w:p>
    <w:p w14:paraId="3FAA8708">
      <w:pPr>
        <w:pStyle w:val="37"/>
        <w:rPr>
          <w:rFonts w:eastAsia="宋体"/>
          <w:lang w:eastAsia="zh-CN"/>
        </w:rPr>
      </w:pPr>
      <w:r>
        <w:rPr>
          <w:rFonts w:hint="eastAsia" w:eastAsia="Songti SC" w:ascii="Times New Roman" w:hAnsi="Times New Roman"/>
          <w:sz w:val="20"/>
          <w:lang w:eastAsia="zh-CN"/>
        </w:rPr>
        <w:t>In this section, three sets of ablation experiments are conducted to verify the necessity of each core component of the proposed method and quantify their respective contributions to the overall detection performance.</w:t>
      </w:r>
    </w:p>
    <w:p w14:paraId="34C16A55">
      <w:pPr>
        <w:pStyle w:val="37"/>
        <w:rPr>
          <w:rFonts w:eastAsia="宋体"/>
          <w:lang w:eastAsia="zh-CN"/>
        </w:rPr>
      </w:pPr>
      <w:r>
        <w:rPr>
          <w:rFonts w:ascii="Times New Roman" w:hAnsi="Times New Roman" w:eastAsia="Songti SC"/>
          <w:b w:val="0"/>
          <w:i w:val="0"/>
          <w:sz w:val="20"/>
        </w:rPr>
        <w:t>To verify the guidance of soft-label distillation, a control group (Direct-SR) is built by training the symbolic regression directly on the discrete hard labels, with no teacher. At the complexity of the low-complexity optimum, both supervisors lead to the same exponential form and the same single-channel AUC of 0.9772, which is expected because a fitted constant does not affect a rank-based metric. The variants differ at the high-complexity end: soft labels keep the front smooth and monotone and reach an AUC of 0.9867 (the 13-node variant of Table IV), whereas hard labels drift into oscillatory nestings that are no longer interpretable and reach only 0.9813. Soft labels mainly change the structure of the admissible solutions, not the accuracy of the compact operator (Fig. 15). Five of seven independent runs recovered the exponential form; the other two converged to a different local optimum (AUC 0.9598) and are reported in the supplementary material.</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880479"/>
                  <wp:docPr id="13" name="Picture 13"/>
                  <wp:cNvGraphicFramePr>
                    <a:graphicFrameLocks noChangeAspect="1"/>
                  </wp:cNvGraphicFramePr>
                  <a:graphic>
                    <a:graphicData uri="http://schemas.openxmlformats.org/drawingml/2006/picture">
                      <pic:pic>
                        <pic:nvPicPr>
                          <pic:cNvPr id="0" name="fig15.png"/>
                          <pic:cNvPicPr/>
                        </pic:nvPicPr>
                        <pic:blipFill>
                          <a:blip r:embed="rId148"/>
                          <a:stretch>
                            <a:fillRect/>
                          </a:stretch>
                        </pic:blipFill>
                        <pic:spPr>
                          <a:xfrm>
                            <a:off x="0" y="0"/>
                            <a:ext cx="2971800" cy="880479"/>
                          </a:xfrm>
                          <a:prstGeom prst="rect"/>
                        </pic:spPr>
                      </pic:pic>
                    </a:graphicData>
                  </a:graphic>
                </wp:inline>
              </w:drawing>
            </w:r>
          </w:p>
          <w:p>
            <w:pPr>
              <w:spacing w:before="40" w:after="80"/>
              <w:jc w:val="left"/>
            </w:pPr>
            <w:r>
              <w:rPr>
                <w:rFonts w:ascii="Times New Roman" w:hAnsi="Times New Roman" w:eastAsia="Songti SC"/>
                <w:sz w:val="15"/>
              </w:rPr>
              <w:t>Fig. 15. ROC curves of the symbolic-regression ablation: (a) Direct-SR with hard-label supervision; (b) KD-SR with soft-label supervision.</w:t>
            </w:r>
          </w:p>
        </w:tc>
      </w:tr>
    </w:tbl>
    <w:p w14:paraId="6EE43C4F">
      <w:pPr>
        <w:pStyle w:val="37"/>
        <w:rPr>
          <w:rFonts w:eastAsia="宋体"/>
          <w:lang w:eastAsia="zh-CN"/>
        </w:rPr>
      </w:pPr>
      <w:r>
        <w:rPr>
          <w:rFonts w:ascii="Times New Roman" w:hAnsi="Times New Roman" w:eastAsia="Songti SC"/>
          <w:b w:val="0"/>
          <w:i w:val="0"/>
          <w:sz w:val="20"/>
        </w:rPr>
        <w:t>Three operator-set ablations quantify the effect of the operator configuration (Fig. 16). The baseline set of linear and ratio operations cannot fit the sigmoidal mapping from scattering power to membership and must approximate it by heavy nesting, which produces redundant expressions that are difficult to interpret; nonlinear operators are therefore necessary. Adding exp improves the low-complexity accuracy markedly, showing that it is the core physical operator: it realizes the smooth mapping from scattering magnitude to membership directly. The power and trigonometric operators of the full set then correct local residuals through multivariate interaction at high complexity, avoiding redundant stacking of the same variable.</w:t>
      </w:r>
    </w:p>
    <w:p w14:paraId="6D75A48C">
      <w:pPr>
        <w:rPr>
          <w:lang w:eastAsia="zh-CN"/>
        </w:rPr>
        <w:sectPr>
          <w:footnotePr>
            <w:pos w:val="pageBottom"/>
            <w:numRestart w:val="eachSect"/>
          </w:footnotePr>
          <w:type w:val="continuous"/>
          <w:pgSz w:w="12240" w:h="15840"/>
          <w:pgMar w:top="1008" w:right="936" w:bottom="1008" w:left="936" w:header="432" w:footer="432" w:gutter="0"/>
          <w:pgNumType w:start="1"/>
          <w:cols w:equalWidth="0" w:num="2">
            <w:col w:w="5040" w:space="288"/>
            <w:col w:w="5040"/>
          </w:cols>
        </w:sectPr>
      </w:pP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957580"/>
                  <wp:docPr id="14" name="Picture 14"/>
                  <wp:cNvGraphicFramePr>
                    <a:graphicFrameLocks noChangeAspect="1"/>
                  </wp:cNvGraphicFramePr>
                  <a:graphic>
                    <a:graphicData uri="http://schemas.openxmlformats.org/drawingml/2006/picture">
                      <pic:pic>
                        <pic:nvPicPr>
                          <pic:cNvPr id="0" name="fig16.png"/>
                          <pic:cNvPicPr/>
                        </pic:nvPicPr>
                        <pic:blipFill>
                          <a:blip r:embed="rId149"/>
                          <a:stretch>
                            <a:fillRect/>
                          </a:stretch>
                        </pic:blipFill>
                        <pic:spPr>
                          <a:xfrm>
                            <a:off x="0" y="0"/>
                            <a:ext cx="2971800" cy="957580"/>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16. Pareto frontiers under different operator sets: (a) basic arithmetic; (b) with exp; (c) full operator set.</w:t>
            </w:r>
          </w:p>
        </w:tc>
      </w:tr>
    </w:tbl>
    <w:p w14:paraId="313116D5">
      <w:pPr>
        <w:pStyle w:val="37"/>
        <w:rPr>
          <w:rFonts w:eastAsia="宋体"/>
          <w:lang w:eastAsia="zh-CN"/>
        </w:rPr>
      </w:pPr>
      <w:r>
        <w:rPr>
          <w:rFonts w:ascii="Times New Roman" w:hAnsi="Times New Roman" w:eastAsia="Songti SC"/>
          <w:b w:val="0"/>
          <w:i w:val="0"/>
          <w:color w:val="000000"/>
          <w:sz w:val="20"/>
        </w:rPr>
        <w:t>Finally, to investigate the influence of input features, two subsets are evaluated: the dual-feature set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and the complete three-feature set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s</w:t>
      </w:r>
      <w:r>
        <w:rPr>
          <w:rFonts w:ascii="Times New Roman" w:hAnsi="Times New Roman" w:eastAsia="Songti SC"/>
          <w:b w:val="0"/>
          <w:i w:val="0"/>
          <w:color w:val="000000"/>
          <w:sz w:val="20"/>
        </w:rPr>
        <w:t xml:space="preserve">,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With only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and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symbolic regression still converges stably to the exponential form, confirming that the ship-characteristic and volume components are the key discriminative features. Adding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s</w:t>
      </w:r>
      <w:r>
        <w:rPr>
          <w:rFonts w:ascii="Times New Roman" w:hAnsi="Times New Roman" w:eastAsia="Songti SC"/>
          <w:b w:val="0"/>
          <w:i w:val="0"/>
          <w:color w:val="000000"/>
          <w:sz w:val="20"/>
        </w:rPr>
        <w:t xml:space="preserve"> does not change the low-complexity expression but improves the high-complexity front (AUC 0.9715 to 0.9867), indicating that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s</w:t>
      </w:r>
      <w:r>
        <w:rPr>
          <w:rFonts w:ascii="Times New Roman" w:hAnsi="Times New Roman" w:eastAsia="Songti SC"/>
          <w:b w:val="0"/>
          <w:i w:val="0"/>
          <w:color w:val="000000"/>
          <w:sz w:val="20"/>
        </w:rPr>
        <w:t xml:space="preserve"> is not needed for the compact descriptor but can refine high-complexity fits.</w:t>
      </w:r>
    </w:p>
    <w:p w14:paraId="293CB981">
      <w:pPr>
        <w:pStyle w:val="37"/>
        <w:rPr>
          <w:rFonts w:eastAsia="宋体"/>
          <w:lang w:eastAsia="en-IN"/>
        </w:rPr>
      </w:pP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does not appear in the optimal low-complexity expression, so the search discards it when only the compact descriptor is required. This is consistent with the fact that surface scattering is dominated by the sea background; the three-channel detector still uses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because it provides complementary background context.</w:t>
      </w:r>
    </w:p>
    <w:p w14:paraId="4F1C26D4">
      <w:pPr>
        <w:pStyle w:val="2"/>
      </w:pPr>
      <w:r>
        <w:rPr>
          <w:rFonts w:ascii="Times New Roman" w:hAnsi="Times New Roman" w:eastAsia="Songti SC"/>
          <w:sz w:val="20"/>
        </w:rPr>
        <w:t xml:space="preserve">IV. </w:t>
      </w:r>
      <w:r>
        <w:rPr>
          <w:rFonts w:ascii="Times New Roman" w:hAnsi="Times New Roman" w:eastAsia="Songti SC"/>
          <w:sz w:val="20"/>
          <w:lang w:eastAsia="zh-CN"/>
        </w:rPr>
        <w:t>DISCUSSION</w:t>
      </w:r>
    </w:p>
    <w:p w14:paraId="060A7626">
      <w:pPr>
        <w:pStyle w:val="3"/>
        <w:numPr>
          <w:ilvl w:val="0"/>
          <w:numId w:val="0"/>
        </w:numPr>
        <w:spacing w:before="240"/>
      </w:pPr>
      <w:r>
        <w:rPr>
          <w:rFonts w:ascii="Times New Roman" w:hAnsi="Times New Roman" w:eastAsia="Songti SC"/>
          <w:sz w:val="20"/>
        </w:rPr>
        <w:t>A. Physical Mechanism of the Scattering Descriptor</w:t>
      </w:r>
    </w:p>
    <w:p w14:paraId="6BFCFDFA">
      <w:pPr>
        <w:ind w:firstLine="144"/>
        <w:jc w:val="both"/>
        <w:rPr>
          <w:rFonts w:eastAsia="Times"/>
          <w:color w:val="000000"/>
          <w:spacing w:val="-3"/>
        </w:rPr>
      </w:pPr>
      <w:r>
        <w:rPr>
          <w:rFonts w:ascii="Times New Roman" w:hAnsi="Times New Roman" w:eastAsia="Songti SC"/>
          <w:b w:val="0"/>
          <w:i w:val="0"/>
          <w:color w:val="000000"/>
          <w:sz w:val="20"/>
        </w:rPr>
        <w:t>The low-complexity descriptor admits a simple physical and mathematical interpretation.</w:t>
      </w:r>
    </w:p>
    <w:p w14:paraId="0F768A5F">
      <w:pPr>
        <w:ind w:firstLine="144"/>
        <w:jc w:val="both"/>
        <w:rPr>
          <w:rFonts w:eastAsia="Times"/>
          <w:color w:val="000000"/>
          <w:spacing w:val="-3"/>
        </w:rPr>
      </w:pPr>
      <w:r>
        <w:rPr>
          <w:rFonts w:ascii="Times New Roman" w:hAnsi="Times New Roman" w:eastAsia="Songti SC"/>
          <w:b w:val="0"/>
          <w:i w:val="0"/>
          <w:sz w:val="20"/>
        </w:rPr>
        <w:t xml:space="preserve">Physically,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 xml:space="preserve"> and </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capture ship-specific double-bounce/helix and volume scattering, both strong over vessels and weak over the sea. The search selects their sum instead of a ratio or product. A direct evaluation shows that the raw sum has the same AUC (0.9772);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therefore changes the output scale, not the pixel ranking.</w:t>
      </w:r>
    </w:p>
    <w:p w14:paraId="1BE5B23C">
      <w:pPr>
        <w:ind w:firstLine="144"/>
        <w:jc w:val="both"/>
        <w:rPr>
          <w:rFonts w:eastAsia="Times"/>
          <w:color w:val="000000"/>
          <w:spacing w:val="-3"/>
        </w:rPr>
      </w:pPr>
      <w:r>
        <w:rPr>
          <w:rFonts w:ascii="Times New Roman" w:hAnsi="Times New Roman" w:eastAsia="Songti SC"/>
          <w:b w:val="0"/>
          <w:i w:val="0"/>
          <w:color w:val="000000"/>
          <w:sz w:val="20"/>
        </w:rPr>
        <w:t xml:space="preserve">Mathematically, exp(-c/x) maps x =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to (0,1): it tends to 0 for x much smaller than c and to 1 for x much larger than c, and its slope is largest at intermediate powers. In the 8-bit rendering used by the detector, this mapping expands the low-power range and compresses the high-power range, which reduces the dynamic range and stabilizes the input scale. It does not change the ranking.</w:t>
      </w:r>
    </w:p>
    <w:p w14:paraId="67900D5F">
      <w:pPr>
        <w:ind w:firstLine="144"/>
        <w:jc w:val="both"/>
        <w:rPr>
          <w:rFonts w:eastAsia="Times"/>
          <w:color w:val="000000"/>
          <w:spacing w:val="-3"/>
        </w:rPr>
      </w:pPr>
      <w:r>
        <w:rPr>
          <w:rFonts w:ascii="Times New Roman" w:hAnsi="Times New Roman" w:eastAsia="Songti SC"/>
          <w:b w:val="0"/>
          <w:i w:val="0"/>
          <w:sz w:val="20"/>
        </w:rPr>
        <w:t xml:space="preserve">The 13-node variant adds a </w:t>
      </w:r>
      <w:r>
        <w:rPr>
          <w:rFonts w:ascii="Times New Roman" w:hAnsi="Times New Roman" w:eastAsia="Songti SC"/>
          <w:b w:val="0"/>
          <w:i/>
          <w:sz w:val="20"/>
        </w:rPr>
        <w:t>P</w:t>
      </w:r>
      <w:r>
        <w:rPr>
          <w:rFonts w:ascii="Times New Roman" w:hAnsi="Times New Roman" w:eastAsia="Songti SC"/>
          <w:b w:val="0"/>
          <w:i/>
          <w:sz w:val="20"/>
          <w:vertAlign w:val="subscript"/>
        </w:rPr>
        <w:t>s</w:t>
      </w:r>
      <w:r>
        <w:rPr>
          <w:rFonts w:ascii="Times New Roman" w:hAnsi="Times New Roman" w:eastAsia="Songti SC"/>
          <w:b w:val="0"/>
          <w:i w:val="0"/>
          <w:sz w:val="20"/>
        </w:rPr>
        <w:t xml:space="preserve"> nonlinearity and improves pixel accuracy to 95.34% and AUC to 0.9867, but it is less interpretable and is not used in detection. The two formulas represent an accuracy-interpretability trade-off not a monotone improvement.</w:t>
      </w:r>
    </w:p>
    <w:p w14:paraId="227CAF12">
      <w:pPr>
        <w:pStyle w:val="67"/>
        <w:ind w:left="450"/>
        <w:rPr>
          <w:rFonts w:ascii="Times" w:hAnsi="Times" w:eastAsia="Times" w:cs="Times"/>
          <w:i/>
          <w:color w:val="000000"/>
        </w:rPr>
      </w:pPr>
    </w:p>
    <w:p w14:paraId="30945116">
      <w:pPr>
        <w:pStyle w:val="3"/>
        <w:numPr>
          <w:ilvl w:val="0"/>
          <w:numId w:val="0"/>
        </w:numPr>
        <w:jc w:val="both"/>
        <w:rPr>
          <w:rFonts w:eastAsia="Cambria"/>
          <w:color w:val="000000"/>
        </w:rPr>
      </w:pPr>
      <w:r>
        <w:rPr>
          <w:rFonts w:eastAsia="Songti SC" w:ascii="Times New Roman" w:hAnsi="Times New Roman"/>
          <w:color w:val="000000"/>
          <w:sz w:val="20"/>
        </w:rPr>
        <w:t>B. Synergy Mechanism of Accuracy, Lightweight Design and Interpretability</w:t>
      </w:r>
    </w:p>
    <w:p w14:paraId="5789AB58">
      <w:pPr>
        <w:ind w:firstLine="144"/>
        <w:jc w:val="both"/>
        <w:rPr>
          <w:rFonts w:eastAsia="Times"/>
          <w:color w:val="000000"/>
          <w:spacing w:val="-3"/>
        </w:rPr>
      </w:pPr>
      <w:r>
        <w:rPr>
          <w:rFonts w:ascii="Times New Roman" w:hAnsi="Times New Roman" w:eastAsia="Songti SC"/>
          <w:sz w:val="20"/>
        </w:rPr>
        <w:t>Conventional knowledge distillation compresses networks while retaining black-box logic. The method here converts implicit MLP knowledge into closed-form expressions and balances detection accuracy, deployment cost and interpretability.</w:t>
      </w:r>
    </w:p>
    <w:p w14:paraId="3B92346C">
      <w:pPr>
        <w:ind w:firstLine="144"/>
        <w:jc w:val="both"/>
        <w:rPr>
          <w:rFonts w:eastAsia="Times"/>
          <w:color w:val="000000"/>
          <w:spacing w:val="-3"/>
        </w:rPr>
      </w:pPr>
      <w:r>
        <w:rPr>
          <w:rFonts w:ascii="Times New Roman" w:hAnsi="Times New Roman" w:eastAsia="Songti SC"/>
          <w:b w:val="0"/>
          <w:i w:val="0"/>
          <w:sz w:val="20"/>
        </w:rPr>
        <w:t>The descriptor itself requires one addition, one division, one exponential operation and one constant. This count excludes the Yamaguchi decomposition and the detector; its storage is negligible compared with the 4,481-parameter teacher MLP. The mapping is deterministic and easy to inspect, but the end-to-end cost is dominated by decomposition and detection.</w:t>
      </w:r>
    </w:p>
    <w:p w14:paraId="41CBC2C4">
      <w:pPr>
        <w:ind w:firstLine="144"/>
        <w:jc w:val="both"/>
        <w:rPr>
          <w:rFonts w:eastAsia="Times"/>
        </w:rPr>
      </w:pPr>
      <w:r>
        <w:rPr>
          <w:rFonts w:ascii="Times New Roman" w:hAnsi="Times New Roman" w:eastAsia="Songti SC"/>
          <w:b w:val="0"/>
          <w:i w:val="0"/>
          <w:color w:val="000000"/>
          <w:sz w:val="20"/>
        </w:rPr>
        <w:t xml:space="preserve">For engineering integration, the descriptor is a plug-and-play input channel: replacing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requires no architectural change or extra tuning. The mAP gains are observed within each architecture; cross-architecture absolute comparisons are not controlled because the training budgets differ.</w:t>
      </w:r>
    </w:p>
    <w:p w14:paraId="6827CE4A">
      <w:pPr>
        <w:pStyle w:val="3"/>
        <w:numPr>
          <w:ilvl w:val="0"/>
          <w:numId w:val="0"/>
        </w:numPr>
        <w:jc w:val="both"/>
      </w:pPr>
      <w:r>
        <w:rPr>
          <w:rFonts w:ascii="Times New Roman" w:hAnsi="Times New Roman" w:eastAsia="Songti SC"/>
          <w:b/>
          <w:sz w:val="20"/>
        </w:rPr>
        <w:t>C. Generalization and Scalability</w:t>
      </w:r>
    </w:p>
    <w:p w14:paraId="3C5F52C0">
      <w:pPr>
        <w:ind w:firstLine="144"/>
        <w:jc w:val="both"/>
        <w:rPr>
          <w:spacing w:val="-3"/>
        </w:rPr>
      </w:pPr>
      <w:r>
        <w:rPr>
          <w:rFonts w:ascii="Times New Roman" w:hAnsi="Times New Roman" w:eastAsia="Songti SC"/>
          <w:b w:val="0"/>
          <w:i w:val="0"/>
          <w:sz w:val="20"/>
        </w:rPr>
        <w:t>The multi-band, multi-source training set was constructed to extract scattering rules that hold across sensors not sensor-specific noise. Because the search fits the same physical quantity across sensors, the resulting formulas contain no sensor-specific terms and transfer across platforms, consistent with prior cross-sensor PolSAR research [60].</w:t>
      </w:r>
    </w:p>
    <w:p>
      <w:pPr>
        <w:jc w:val="center"/>
        <w:keepNext/>
      </w:pPr>
      <w:r>
        <w:rPr>
          <w:rFonts w:ascii="Times New Roman" w:hAnsi="Times New Roman" w:eastAsia="Songti SC"/>
          <w:b/>
          <w:sz w:val="15"/>
        </w:rPr>
        <w:t>TABLE IX</w:t>
        <w:br/>
        <w:t>Cross-Dataset AUC Comparison</w:t>
      </w:r>
    </w:p>
    <w:tbl>
      <w:tblPr>
        <w:jc w:val="center"/>
        <w:tblLook w:firstColumn="1" w:firstRow="1" w:lastColumn="0" w:lastRow="0" w:noHBand="0" w:noVBand="1" w:val="04A0"/>
        <w:tblW w:w="4824" w:type="dxa"/>
        <w:tblLayout w:type="fixed"/>
        <w:tblBorders>
          <w:top w:val="nil"/>
          <w:left w:val="nil"/>
          <w:bottom w:val="nil"/>
          <w:right w:val="nil"/>
          <w:insideH w:val="nil"/>
          <w:insideV w:val="nil"/>
        </w:tblBorders>
      </w:tblPr>
      <w:tblGrid>
        <w:gridCol w:w="4824"/>
        <w:gridCol w:w="4824"/>
        <w:gridCol w:w="4824"/>
        <w:gridCol w:w="4824"/>
      </w:tblGrid>
      <w:tr>
        <w:trPr>
          <w:cantSplit/>
        </w:trPr>
        <w:tc>
          <w:tcPr>
            <w:tcW w:type="dxa" w:w="4824"/>
          </w:tcPr>
          <w:p>
            <w:pPr>
              <w:spacing w:before="0" w:after="0"/>
              <w:jc w:val="center"/>
            </w:pPr>
            <w:r/>
            <w:r>
              <w:rPr>
                <w:rFonts w:ascii="Times New Roman" w:hAnsi="Times New Roman" w:eastAsia="Songti SC"/>
                <w:b/>
                <w:sz w:val="14"/>
              </w:rPr>
              <w:t>Method</w:t>
            </w:r>
          </w:p>
        </w:tc>
        <w:tc>
          <w:tcPr>
            <w:tcW w:type="dxa" w:w="4824"/>
          </w:tcPr>
          <w:p>
            <w:pPr>
              <w:spacing w:before="0" w:after="0"/>
              <w:jc w:val="center"/>
            </w:pPr>
            <w:r/>
            <w:r>
              <w:rPr>
                <w:rFonts w:ascii="Times New Roman" w:hAnsi="Times New Roman" w:eastAsia="Songti SC"/>
                <w:b/>
                <w:sz w:val="14"/>
              </w:rPr>
              <w:t>PSDD AUC</w:t>
            </w:r>
          </w:p>
        </w:tc>
        <w:tc>
          <w:tcPr>
            <w:tcW w:type="dxa" w:w="4824"/>
          </w:tcPr>
          <w:p>
            <w:pPr>
              <w:spacing w:before="0" w:after="0"/>
              <w:jc w:val="center"/>
            </w:pPr>
            <w:r/>
            <w:r>
              <w:rPr>
                <w:rFonts w:ascii="Times New Roman" w:hAnsi="Times New Roman" w:eastAsia="Songti SC"/>
                <w:b/>
                <w:sz w:val="14"/>
              </w:rPr>
              <w:t>IPSD AUC</w:t>
            </w:r>
          </w:p>
        </w:tc>
        <w:tc>
          <w:tcPr>
            <w:tcW w:type="dxa" w:w="4824"/>
          </w:tcPr>
          <w:p>
            <w:pPr>
              <w:spacing w:before="0" w:after="0"/>
              <w:jc w:val="center"/>
            </w:pPr>
            <w:r/>
            <w:r>
              <w:rPr>
                <w:rFonts w:ascii="Times New Roman" w:hAnsi="Times New Roman" w:eastAsia="Songti SC"/>
                <w:b/>
                <w:sz w:val="14"/>
              </w:rPr>
              <w:t>IPSD F1</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smv</w:t>
            </w:r>
            <w:r>
              <w:rPr>
                <w:rFonts w:ascii="Times New Roman" w:hAnsi="Times New Roman" w:eastAsia="Times New Roman"/>
                <w:b w:val="0"/>
                <w:i w:val="0"/>
                <w:sz w:val="14"/>
              </w:rPr>
              <w:t xml:space="preserve"> (ours)</w:t>
            </w:r>
          </w:p>
        </w:tc>
        <w:tc>
          <w:tcPr>
            <w:tcW w:type="dxa" w:w="4824"/>
          </w:tcPr>
          <w:p>
            <w:pPr>
              <w:spacing w:before="0" w:after="0"/>
              <w:jc w:val="center"/>
            </w:pPr>
            <w:r/>
            <w:r>
              <w:rPr>
                <w:rFonts w:ascii="Times New Roman" w:hAnsi="Times New Roman" w:eastAsia="Songti SC"/>
                <w:sz w:val="14"/>
              </w:rPr>
              <w:t>98.7</w:t>
            </w:r>
          </w:p>
        </w:tc>
        <w:tc>
          <w:tcPr>
            <w:tcW w:type="dxa" w:w="4824"/>
          </w:tcPr>
          <w:p>
            <w:pPr>
              <w:spacing w:before="0" w:after="0"/>
              <w:jc w:val="center"/>
            </w:pPr>
            <w:r/>
            <w:r>
              <w:rPr>
                <w:rFonts w:ascii="Times New Roman" w:hAnsi="Times New Roman" w:eastAsia="Songti SC"/>
                <w:sz w:val="14"/>
              </w:rPr>
              <w:t>96.9</w:t>
            </w:r>
          </w:p>
        </w:tc>
        <w:tc>
          <w:tcPr>
            <w:tcW w:type="dxa" w:w="4824"/>
          </w:tcPr>
          <w:p>
            <w:pPr>
              <w:spacing w:before="0" w:after="0"/>
              <w:jc w:val="center"/>
            </w:pPr>
            <w:r/>
            <w:r>
              <w:rPr>
                <w:rFonts w:ascii="Times New Roman" w:hAnsi="Times New Roman" w:eastAsia="Songti SC"/>
                <w:sz w:val="14"/>
              </w:rPr>
              <w:t>92.0</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mv</w:t>
            </w:r>
            <w:r>
              <w:rPr>
                <w:rFonts w:ascii="Times New Roman" w:hAnsi="Times New Roman" w:eastAsia="Times New Roman"/>
                <w:b w:val="0"/>
                <w:i w:val="0"/>
                <w:sz w:val="14"/>
              </w:rPr>
              <w:t xml:space="preserve"> (ours)</w:t>
            </w:r>
          </w:p>
        </w:tc>
        <w:tc>
          <w:tcPr>
            <w:tcW w:type="dxa" w:w="4824"/>
          </w:tcPr>
          <w:p>
            <w:pPr>
              <w:spacing w:before="0" w:after="0"/>
              <w:jc w:val="center"/>
            </w:pPr>
            <w:r/>
            <w:r>
              <w:rPr>
                <w:rFonts w:ascii="Times New Roman" w:hAnsi="Times New Roman" w:eastAsia="Songti SC"/>
                <w:sz w:val="14"/>
              </w:rPr>
              <w:t>97.7</w:t>
            </w:r>
          </w:p>
        </w:tc>
        <w:tc>
          <w:tcPr>
            <w:tcW w:type="dxa" w:w="4824"/>
          </w:tcPr>
          <w:p>
            <w:pPr>
              <w:spacing w:before="0" w:after="0"/>
              <w:jc w:val="center"/>
            </w:pPr>
            <w:r/>
            <w:r>
              <w:rPr>
                <w:rFonts w:ascii="Times New Roman" w:hAnsi="Times New Roman" w:eastAsia="Songti SC"/>
                <w:sz w:val="14"/>
              </w:rPr>
              <w:t>97.5</w:t>
            </w:r>
          </w:p>
        </w:tc>
        <w:tc>
          <w:tcPr>
            <w:tcW w:type="dxa" w:w="4824"/>
          </w:tcPr>
          <w:p>
            <w:pPr>
              <w:spacing w:before="0" w:after="0"/>
              <w:jc w:val="center"/>
            </w:pPr>
            <w:r/>
            <w:r>
              <w:rPr>
                <w:rFonts w:ascii="Times New Roman" w:hAnsi="Times New Roman" w:eastAsia="Songti SC"/>
                <w:sz w:val="14"/>
              </w:rPr>
              <w:t>90.3</w:t>
            </w:r>
          </w:p>
        </w:tc>
      </w:tr>
      <w:tr>
        <w:trPr>
          <w:cantSplit/>
        </w:trPr>
        <w:tc>
          <w:tcPr>
            <w:tcW w:type="dxa" w:w="4824"/>
          </w:tcPr>
          <w:p>
            <w:pPr>
              <w:spacing w:before="0" w:after="0"/>
              <w:jc w:val="center"/>
            </w:pPr>
            <w:r/>
            <w:r>
              <w:rPr>
                <w:rFonts w:ascii="Times New Roman" w:hAnsi="Times New Roman" w:eastAsia="Songti SC"/>
                <w:sz w:val="14"/>
              </w:rPr>
              <w:t>SPAN</w:t>
            </w:r>
          </w:p>
        </w:tc>
        <w:tc>
          <w:tcPr>
            <w:tcW w:type="dxa" w:w="4824"/>
          </w:tcPr>
          <w:p>
            <w:pPr>
              <w:spacing w:before="0" w:after="0"/>
              <w:jc w:val="center"/>
            </w:pPr>
            <w:r/>
            <w:r>
              <w:rPr>
                <w:rFonts w:ascii="Times New Roman" w:hAnsi="Times New Roman" w:eastAsia="Songti SC"/>
                <w:sz w:val="14"/>
              </w:rPr>
              <w:t>96.8</w:t>
            </w:r>
          </w:p>
        </w:tc>
        <w:tc>
          <w:tcPr>
            <w:tcW w:type="dxa" w:w="4824"/>
          </w:tcPr>
          <w:p>
            <w:pPr>
              <w:spacing w:before="0" w:after="0"/>
              <w:jc w:val="center"/>
            </w:pPr>
            <w:r/>
            <w:r>
              <w:rPr>
                <w:rFonts w:ascii="Times New Roman" w:hAnsi="Times New Roman" w:eastAsia="Songti SC"/>
                <w:sz w:val="14"/>
              </w:rPr>
              <w:t>95.0</w:t>
            </w:r>
          </w:p>
        </w:tc>
        <w:tc>
          <w:tcPr>
            <w:tcW w:type="dxa" w:w="4824"/>
          </w:tcPr>
          <w:p>
            <w:pPr>
              <w:spacing w:before="0" w:after="0"/>
              <w:jc w:val="center"/>
            </w:pPr>
            <w:r/>
            <w:r>
              <w:rPr>
                <w:rFonts w:ascii="Times New Roman" w:hAnsi="Times New Roman" w:eastAsia="Songti SC"/>
                <w:sz w:val="14"/>
              </w:rPr>
              <w:t>87.9</w:t>
            </w:r>
          </w:p>
        </w:tc>
      </w:tr>
      <w:tr>
        <w:trPr>
          <w:cantSplit/>
        </w:trPr>
        <w:tc>
          <w:tcPr>
            <w:tcW w:type="dxa" w:w="4824"/>
          </w:tcPr>
          <w:p>
            <w:pPr>
              <w:spacing w:before="0" w:after="0"/>
              <w:jc w:val="center"/>
            </w:pPr>
            <w:r/>
            <w:r>
              <w:rPr>
                <w:rFonts w:ascii="Times New Roman" w:hAnsi="Times New Roman" w:eastAsia="Songti SC"/>
                <w:sz w:val="14"/>
              </w:rPr>
              <w:t>PMS</w:t>
            </w:r>
          </w:p>
        </w:tc>
        <w:tc>
          <w:tcPr>
            <w:tcW w:type="dxa" w:w="4824"/>
          </w:tcPr>
          <w:p>
            <w:pPr>
              <w:spacing w:before="0" w:after="0"/>
              <w:jc w:val="center"/>
            </w:pPr>
            <w:r/>
            <w:r>
              <w:rPr>
                <w:rFonts w:ascii="Times New Roman" w:hAnsi="Times New Roman" w:eastAsia="Songti SC"/>
                <w:sz w:val="14"/>
              </w:rPr>
              <w:t>96.8</w:t>
            </w:r>
          </w:p>
        </w:tc>
        <w:tc>
          <w:tcPr>
            <w:tcW w:type="dxa" w:w="4824"/>
          </w:tcPr>
          <w:p>
            <w:pPr>
              <w:spacing w:before="0" w:after="0"/>
              <w:jc w:val="center"/>
            </w:pPr>
            <w:r/>
            <w:r>
              <w:rPr>
                <w:rFonts w:ascii="Times New Roman" w:hAnsi="Times New Roman" w:eastAsia="Songti SC"/>
                <w:sz w:val="14"/>
              </w:rPr>
              <w:t>97.7</w:t>
            </w:r>
          </w:p>
        </w:tc>
        <w:tc>
          <w:tcPr>
            <w:tcW w:type="dxa" w:w="4824"/>
          </w:tcPr>
          <w:p>
            <w:pPr>
              <w:spacing w:before="0" w:after="0"/>
              <w:jc w:val="center"/>
            </w:pPr>
            <w:r/>
            <w:r>
              <w:rPr>
                <w:rFonts w:ascii="Times New Roman" w:hAnsi="Times New Roman" w:eastAsia="Songti SC"/>
                <w:sz w:val="14"/>
              </w:rPr>
              <w:t>89.2</w:t>
            </w:r>
          </w:p>
        </w:tc>
      </w:tr>
      <w:tr>
        <w:trPr>
          <w:cantSplit/>
        </w:trPr>
        <w:tc>
          <w:tcPr>
            <w:tcW w:type="dxa" w:w="4824"/>
          </w:tcPr>
          <w:p>
            <w:pPr>
              <w:spacing w:before="0" w:after="0"/>
              <w:jc w:val="center"/>
            </w:pPr>
            <w:r/>
            <w:r>
              <w:rPr>
                <w:rFonts w:ascii="Times New Roman" w:hAnsi="Times New Roman" w:eastAsia="Songti SC"/>
                <w:sz w:val="14"/>
              </w:rPr>
              <w:t>PNF</w:t>
            </w:r>
          </w:p>
        </w:tc>
        <w:tc>
          <w:tcPr>
            <w:tcW w:type="dxa" w:w="4824"/>
          </w:tcPr>
          <w:p>
            <w:pPr>
              <w:spacing w:before="0" w:after="0"/>
              <w:jc w:val="center"/>
            </w:pPr>
            <w:r/>
            <w:r>
              <w:rPr>
                <w:rFonts w:ascii="Times New Roman" w:hAnsi="Times New Roman" w:eastAsia="Songti SC"/>
                <w:sz w:val="14"/>
              </w:rPr>
              <w:t>98.4</w:t>
            </w:r>
          </w:p>
        </w:tc>
        <w:tc>
          <w:tcPr>
            <w:tcW w:type="dxa" w:w="4824"/>
          </w:tcPr>
          <w:p>
            <w:pPr>
              <w:spacing w:before="0" w:after="0"/>
              <w:jc w:val="center"/>
            </w:pPr>
            <w:r/>
            <w:r>
              <w:rPr>
                <w:rFonts w:ascii="Times New Roman" w:hAnsi="Times New Roman" w:eastAsia="Songti SC"/>
                <w:sz w:val="14"/>
              </w:rPr>
              <w:t>91.5</w:t>
            </w:r>
          </w:p>
        </w:tc>
        <w:tc>
          <w:tcPr>
            <w:tcW w:type="dxa" w:w="4824"/>
          </w:tcPr>
          <w:p>
            <w:pPr>
              <w:spacing w:before="0" w:after="0"/>
              <w:jc w:val="center"/>
            </w:pPr>
            <w:r/>
            <w:r>
              <w:rPr>
                <w:rFonts w:ascii="Times New Roman" w:hAnsi="Times New Roman" w:eastAsia="Songti SC"/>
                <w:sz w:val="14"/>
              </w:rPr>
              <w:t>76.7</w:t>
            </w:r>
          </w:p>
        </w:tc>
      </w:tr>
      <w:tr>
        <w:trPr>
          <w:cantSplit/>
        </w:trPr>
        <w:tc>
          <w:tcPr>
            <w:tcW w:type="dxa" w:w="4824"/>
          </w:tcPr>
          <w:p>
            <w:pPr>
              <w:spacing w:before="0" w:after="0"/>
              <w:jc w:val="center"/>
            </w:pPr>
            <w:r/>
            <w:r>
              <w:rPr>
                <w:rFonts w:ascii="Times New Roman" w:hAnsi="Times New Roman" w:eastAsia="Songti SC"/>
                <w:sz w:val="14"/>
              </w:rPr>
              <w:t>MPWF</w:t>
            </w:r>
          </w:p>
        </w:tc>
        <w:tc>
          <w:tcPr>
            <w:tcW w:type="dxa" w:w="4824"/>
          </w:tcPr>
          <w:p>
            <w:pPr>
              <w:spacing w:before="0" w:after="0"/>
              <w:jc w:val="center"/>
            </w:pPr>
            <w:r/>
            <w:r>
              <w:rPr>
                <w:rFonts w:ascii="Times New Roman" w:hAnsi="Times New Roman" w:eastAsia="Songti SC"/>
                <w:sz w:val="14"/>
              </w:rPr>
              <w:t>98.4</w:t>
            </w:r>
          </w:p>
        </w:tc>
        <w:tc>
          <w:tcPr>
            <w:tcW w:type="dxa" w:w="4824"/>
          </w:tcPr>
          <w:p>
            <w:pPr>
              <w:spacing w:before="0" w:after="0"/>
              <w:jc w:val="center"/>
            </w:pPr>
            <w:r/>
            <w:r>
              <w:rPr>
                <w:rFonts w:ascii="Times New Roman" w:hAnsi="Times New Roman" w:eastAsia="Songti SC"/>
                <w:sz w:val="14"/>
              </w:rPr>
              <w:t>64.1</w:t>
            </w:r>
          </w:p>
        </w:tc>
        <w:tc>
          <w:tcPr>
            <w:tcW w:type="dxa" w:w="4824"/>
          </w:tcPr>
          <w:p>
            <w:pPr>
              <w:spacing w:before="0" w:after="0"/>
              <w:jc w:val="center"/>
            </w:pPr>
            <w:r/>
            <w:r>
              <w:rPr>
                <w:rFonts w:ascii="Times New Roman" w:hAnsi="Times New Roman" w:eastAsia="Songti SC"/>
                <w:sz w:val="14"/>
              </w:rPr>
              <w:t>62.6</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m</w:t>
            </w:r>
          </w:p>
        </w:tc>
        <w:tc>
          <w:tcPr>
            <w:tcW w:type="dxa" w:w="4824"/>
          </w:tcPr>
          <w:p>
            <w:pPr>
              <w:spacing w:before="0" w:after="0"/>
              <w:jc w:val="center"/>
            </w:pPr>
            <w:r/>
            <w:r>
              <w:rPr>
                <w:rFonts w:ascii="Times New Roman" w:hAnsi="Times New Roman" w:eastAsia="Songti SC"/>
                <w:sz w:val="14"/>
              </w:rPr>
              <w:t>82.7</w:t>
            </w:r>
          </w:p>
        </w:tc>
        <w:tc>
          <w:tcPr>
            <w:tcW w:type="dxa" w:w="4824"/>
          </w:tcPr>
          <w:p>
            <w:pPr>
              <w:spacing w:before="0" w:after="0"/>
              <w:jc w:val="center"/>
            </w:pPr>
            <w:r/>
            <w:r>
              <w:rPr>
                <w:rFonts w:ascii="Times New Roman" w:hAnsi="Times New Roman" w:eastAsia="Songti SC"/>
                <w:sz w:val="14"/>
              </w:rPr>
              <w:t>88.3</w:t>
            </w:r>
          </w:p>
        </w:tc>
        <w:tc>
          <w:tcPr>
            <w:tcW w:type="dxa" w:w="4824"/>
          </w:tcPr>
          <w:p>
            <w:pPr>
              <w:spacing w:before="0" w:after="0"/>
              <w:jc w:val="center"/>
            </w:pPr>
            <w:r/>
            <w:r>
              <w:rPr>
                <w:rFonts w:ascii="Times New Roman" w:hAnsi="Times New Roman" w:eastAsia="Songti SC"/>
                <w:sz w:val="14"/>
              </w:rPr>
              <w:t>80.3</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v</w:t>
            </w:r>
          </w:p>
        </w:tc>
        <w:tc>
          <w:tcPr>
            <w:tcW w:type="dxa" w:w="4824"/>
          </w:tcPr>
          <w:p>
            <w:pPr>
              <w:spacing w:before="0" w:after="0"/>
              <w:jc w:val="center"/>
            </w:pPr>
            <w:r/>
            <w:r>
              <w:rPr>
                <w:rFonts w:ascii="Times New Roman" w:hAnsi="Times New Roman" w:eastAsia="Songti SC"/>
                <w:sz w:val="14"/>
              </w:rPr>
              <w:t>89.4</w:t>
            </w:r>
          </w:p>
        </w:tc>
        <w:tc>
          <w:tcPr>
            <w:tcW w:type="dxa" w:w="4824"/>
          </w:tcPr>
          <w:p>
            <w:pPr>
              <w:spacing w:before="0" w:after="0"/>
              <w:jc w:val="center"/>
            </w:pPr>
            <w:r/>
            <w:r>
              <w:rPr>
                <w:rFonts w:ascii="Times New Roman" w:hAnsi="Times New Roman" w:eastAsia="Songti SC"/>
                <w:sz w:val="14"/>
              </w:rPr>
              <w:t>64.7</w:t>
            </w:r>
          </w:p>
        </w:tc>
        <w:tc>
          <w:tcPr>
            <w:tcW w:type="dxa" w:w="4824"/>
          </w:tcPr>
          <w:p>
            <w:pPr>
              <w:spacing w:before="0" w:after="0"/>
              <w:jc w:val="center"/>
            </w:pPr>
            <w:r/>
            <w:r>
              <w:rPr>
                <w:rFonts w:ascii="Times New Roman" w:hAnsi="Times New Roman" w:eastAsia="Songti SC"/>
                <w:sz w:val="14"/>
              </w:rPr>
              <w:t>57.2</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s</w:t>
            </w:r>
          </w:p>
        </w:tc>
        <w:tc>
          <w:tcPr>
            <w:tcW w:type="dxa" w:w="4824"/>
          </w:tcPr>
          <w:p>
            <w:pPr>
              <w:spacing w:before="0" w:after="0"/>
              <w:jc w:val="center"/>
            </w:pPr>
            <w:r/>
            <w:r>
              <w:rPr>
                <w:rFonts w:ascii="Times New Roman" w:hAnsi="Times New Roman" w:eastAsia="Songti SC"/>
                <w:sz w:val="14"/>
              </w:rPr>
              <w:t>31.4</w:t>
            </w:r>
          </w:p>
        </w:tc>
        <w:tc>
          <w:tcPr>
            <w:tcW w:type="dxa" w:w="4824"/>
          </w:tcPr>
          <w:p>
            <w:pPr>
              <w:spacing w:before="0" w:after="0"/>
              <w:jc w:val="center"/>
            </w:pPr>
            <w:r/>
            <w:r>
              <w:rPr>
                <w:rFonts w:ascii="Times New Roman" w:hAnsi="Times New Roman" w:eastAsia="Songti SC"/>
                <w:sz w:val="14"/>
              </w:rPr>
              <w:t>57.5</w:t>
            </w:r>
          </w:p>
        </w:tc>
        <w:tc>
          <w:tcPr>
            <w:tcW w:type="dxa" w:w="4824"/>
          </w:tcPr>
          <w:p>
            <w:pPr>
              <w:spacing w:before="0" w:after="0"/>
              <w:jc w:val="center"/>
            </w:pPr>
            <w:r/>
            <w:r>
              <w:rPr>
                <w:rFonts w:ascii="Times New Roman" w:hAnsi="Times New Roman" w:eastAsia="Songti SC"/>
                <w:sz w:val="14"/>
              </w:rPr>
              <w:t>44.8</w:t>
            </w:r>
          </w:p>
        </w:tc>
      </w:tr>
    </w:tbl>
    <w:p>
      <w:r>
        <w:rPr>
          <w:rFonts w:ascii="Times New Roman" w:hAnsi="Times New Roman" w:eastAsia="Songti SC"/>
          <w:sz w:val="20"/>
        </w:rPr>
        <w:t>On the third-party IPSD dataset, the six-node descriptor reaches an AUC of 97.5% after a single scalar calibration, and the 13-node variant reaches 96.9%; on PSDD the corresponding values are 97.7% and 98.7%. Because both datasets use the same threshold rule for pixel labels, the experiment tests cross-sensor consistency under a shared labeling rule; it does not test agreement with independent annotations. The calibration is one scalar applied to Pm+Pv; neither the expression nor its constant changes. Table IX summarizes the AUC values.</w:t>
      </w:r>
    </w:p>
    <w:p w14:paraId="2E23F9D2">
      <w:pPr>
        <w:ind w:firstLine="144"/>
        <w:jc w:val="both"/>
        <w:rPr>
          <w:spacing w:val="-3"/>
        </w:rPr>
      </w:pPr>
      <w:r>
        <w:rPr>
          <w:rFonts w:ascii="Times New Roman" w:hAnsi="Times New Roman" w:eastAsia="Songti SC"/>
          <w:sz w:val="20"/>
        </w:rPr>
        <w:t>The teacher-student procedure is not specific to PolSAR and can be adapted to other remote-sensing tasks: for PolSAR classification, descriptors can be generated for different land-cover types from target decomposition; for hyperspectral imagery, explicit spectral-ground mapping rules can be mined; for infrared detection, interpretable background-suppression operators can be constructed.</w:t>
      </w:r>
    </w:p>
    <w:p w14:paraId="590FE87B">
      <w:pPr>
        <w:ind w:firstLine="144"/>
        <w:jc w:val="both"/>
      </w:pPr>
      <w:r>
        <w:rPr>
          <w:rFonts w:ascii="Times New Roman" w:hAnsi="Times New Roman" w:eastAsia="Songti SC"/>
          <w:sz w:val="20"/>
        </w:rPr>
        <w:t>Most interpretable remote-sensing methods still rely on network-derived features [61]. The descriptor in this work can be read and checked directly, and the study shows how polarimetric decomposition, knowledge distillation and symbolic regression can be combined.</w:t>
      </w:r>
    </w:p>
    <w:p>
      <w:pPr>
        <w:pStyle w:val="3"/>
      </w:pPr>
      <w:r>
        <w:rPr>
          <w:rFonts w:ascii="Times New Roman" w:hAnsi="Times New Roman" w:eastAsia="Songti SC"/>
          <w:b/>
          <w:sz w:val="20"/>
        </w:rPr>
        <w:t>D. Limitations</w:t>
      </w:r>
    </w:p>
    <w:p>
      <w:r>
        <w:rPr>
          <w:rFonts w:ascii="Times New Roman" w:hAnsi="Times New Roman" w:eastAsia="Songti SC"/>
          <w:b w:val="0"/>
          <w:i w:val="0"/>
          <w:sz w:val="20"/>
        </w:rPr>
        <w:t>Several limitations apply. First, all pixel-level metrics are computed on a 1:2 balanced sample; the natural positive prevalence is about 0.86%, so the reported precision is higher than what deployment prevalence would produce. Second, the detection experiments follow the benchmark tile-level split, in which tiles from 20 of the 23 scenes appear in both training and test sets; overlapping tiles and shared scenes can inflate the absolute scores, and a scene-level split is needed for a deployment estimate. Third, the pixel labels are generated by a fixed BT.601 luminance threshold (τ = 40), and the IPSD labels use the same rule; the cross-dataset experiment tests consistency under a shared labeling rule, not agreement with independent annotations.</w:t>
      </w:r>
    </w:p>
    <w:p>
      <w:r>
        <w:rPr>
          <w:rFonts w:ascii="Times New Roman" w:hAnsi="Times New Roman" w:eastAsia="Songti SC"/>
          <w:b w:val="0"/>
          <w:i w:val="0"/>
          <w:sz w:val="20"/>
        </w:rPr>
        <w:t xml:space="preserve">Fourth, the detector results are single-run, and the architecture comparison is limited to four YOLO variants; one/two-stage MMDetection detectors were excluded because their training budgets could not be matched. Only the within-architecture input replacement is controlled. Fifth, the low-complexity descriptor is rank-equivalent to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its value is a bounded, closed-form output. Sixth, the 13-node variant is reported only at the pixel level and is not used for detection, and no PolSAR-specific detector was compared under the same protocol. These limitations restrict the quantitative scope; they do not affect the reproducibility of the descriptor or the main trend.</w:t>
      </w:r>
    </w:p>
    <w:p w14:paraId="34DD075D">
      <w:pPr>
        <w:pStyle w:val="2"/>
        <w:keepNext/>
        <w:spacing w:before="240" w:after="80"/>
        <w:jc w:val="center"/>
        <w:rPr>
          <w:rFonts w:eastAsia="宋体"/>
          <w:color w:val="000000"/>
          <w:lang w:eastAsia="zh-CN"/>
        </w:rPr>
      </w:pPr>
      <w:r>
        <w:rPr>
          <w:rFonts w:ascii="Times New Roman" w:hAnsi="Times New Roman" w:eastAsia="Songti SC"/>
          <w:b/>
          <w:smallCaps/>
          <w:color w:val="000000"/>
          <w:sz w:val="20"/>
        </w:rPr>
        <w:t>V. CONCLUSION</w:t>
      </w:r>
    </w:p>
    <w:p w14:paraId="0E115BB6">
      <w:pPr>
        <w:ind w:firstLine="144"/>
        <w:jc w:val="both"/>
      </w:pPr>
      <w:r>
        <w:rPr>
          <w:rFonts w:ascii="Times New Roman" w:hAnsi="Times New Roman" w:eastAsia="Songti SC"/>
          <w:b w:val="0"/>
          <w:sz w:val="20"/>
        </w:rPr>
        <w:t>This article presented a knowledge-distillation-guided symbolic-regression method for learning an explicit polarimetric descriptor for PolSAR ship detection. A teacher MLP converts threshold labels into soft pixel labels, and a bi-objective search selects a six-node descriptor that is embedded into detectors as an input channel and used for box-gated pixel extraction.</w:t>
      </w:r>
    </w:p>
    <w:p w14:paraId="5CB5A1F0">
      <w:pPr>
        <w:ind w:firstLine="144"/>
        <w:jc w:val="both"/>
      </w:pPr>
      <w:r>
        <w:rPr>
          <w:rFonts w:ascii="Times New Roman" w:hAnsi="Times New Roman" w:eastAsia="Songti SC"/>
          <w:b w:val="0"/>
          <w:i w:val="0"/>
          <w:sz w:val="20"/>
        </w:rPr>
        <w:t xml:space="preserve">Three findings emerge. First, the six-node descriptor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 exp(-c/(</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is a monotone, bounded rescaling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it has the same AUC (0.9772) as the raw sum and provides a closed-form, unit-interval output. Its value lies in interpretability, traceability, and detector-input calibration, not additional ranking information. Second, in the three-channel input,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raises the YOLOv8n mAP@0.5 from 80.0% to 82.5%, and all four YOLO variants improve in mAP@0.5; the controlled evidence is the within-architecture replacement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 xml:space="preserve"> by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Third, soft labels mainly affect the high-complexity solution structure: hard- and soft-label searches recover the same low-complexity form, while soft labels keep the Pareto front smooth at higher complexity.</w:t>
      </w:r>
    </w:p>
    <w:p w14:paraId="64E169CA">
      <w:pPr>
        <w:ind w:firstLine="144"/>
        <w:jc w:val="both"/>
      </w:pPr>
      <w:r>
        <w:rPr>
          <w:rFonts w:ascii="Times New Roman" w:hAnsi="Times New Roman" w:eastAsia="Songti SC"/>
          <w:b w:val="0"/>
          <w:i w:val="0"/>
          <w:sz w:val="20"/>
        </w:rPr>
        <w:t>The method is limited by balanced-sample evaluation, tile-level splits with shared scenes, a shared labeling rule for cross-dataset testing, single-run detection results, and the four-YOLO scope. Scene-level splits, independent pixel annotations and multiple seeds are needed before deployment claims. Future work will extend the method to other PolSAR tasks and validate it with independent annotations and PolSAR-specific detectors.</w:t>
      </w:r>
    </w:p>
    <w:p w14:paraId="754C6603">
      <w:pPr>
        <w:pStyle w:val="2"/>
        <w:keepNext/>
        <w:spacing w:before="240" w:after="80"/>
        <w:jc w:val="center"/>
        <w:rPr>
          <w:rFonts w:eastAsia="宋体"/>
          <w:color w:val="000000"/>
          <w:lang w:eastAsia="zh-CN"/>
        </w:rPr>
      </w:pPr>
      <w:r>
        <w:rPr>
          <w:rFonts w:ascii="Times New Roman" w:hAnsi="Times New Roman" w:eastAsia="Songti SC"/>
          <w:b/>
          <w:smallCaps/>
          <w:color w:val="000000"/>
          <w:sz w:val="20"/>
        </w:rPr>
        <w:t>DATA AVAILABILITY</w:t>
      </w:r>
    </w:p>
    <w:p w14:paraId="3A9043AF">
      <w:pPr>
        <w:ind w:firstLine="144"/>
        <w:jc w:val="both"/>
      </w:pPr>
      <w:r>
        <w:rPr>
          <w:rFonts w:ascii="Times New Roman" w:hAnsi="Times New Roman" w:eastAsia="Songti SC"/>
          <w:sz w:val="20"/>
        </w:rPr>
        <w:t>The implementation of the method described in this paper is openly available at https://github.com/lhm-shuai/polsar-kd-sr. It covers the Yamaguchi decomposition and the labelling rule of Section II-A, the teacher of Section II-A, the symbolic regression search of Section II-B, and the pixel-level and detector-level evaluation. The PSDD dataset is third-party and is not redistributed; it should be obtained from the sources described in [51], [52].</w:t>
      </w:r>
    </w:p>
    <w:p w14:paraId="49678B33">
      <w:pPr>
        <w:keepNext/>
        <w:spacing w:before="240" w:after="80"/>
        <w:jc w:val="left"/>
        <w:rPr>
          <w:color w:val="222222"/>
          <w:sz w:val="16"/>
          <w:szCs w:val="16"/>
        </w:rPr>
      </w:pPr>
      <w:r>
        <w:rPr>
          <w:rFonts w:ascii="Times New Roman" w:hAnsi="Times New Roman" w:eastAsia="Songti SC"/>
          <w:b/>
          <w:sz w:val="20"/>
        </w:rPr>
        <w:t>REFERENCES</w:t>
      </w:r>
    </w:p>
    <w:p w14:paraId="7EB01499">
      <w:pPr>
        <w:spacing w:before="0" w:after="30" w:line="240" w:lineRule="auto"/>
        <w:ind w:left="240" w:hanging="240"/>
        <w:rPr>
          <w:color w:val="222222"/>
          <w:sz w:val="16"/>
          <w:szCs w:val="16"/>
        </w:rPr>
      </w:pPr>
      <w:r>
        <w:rPr>
          <w:rFonts w:ascii="Times New Roman" w:hAnsi="Times New Roman" w:eastAsia="Songti SC"/>
          <w:sz w:val="20"/>
        </w:rPr>
        <w:t>[1] C. Zhang et al., "An overview of polarized synthetic aperture radar ship detection: From traditional methods to artificial intelligence," IEEE Geosci. Remote Sens. Mag., vol. 13, no. 4, pp. 174–209, Dec. 2025.</w:t>
      </w:r>
    </w:p>
    <w:p w14:paraId="118824AB">
      <w:pPr>
        <w:spacing w:before="0" w:after="30" w:line="240" w:lineRule="auto"/>
        <w:ind w:left="240" w:hanging="240"/>
        <w:rPr>
          <w:color w:val="222222"/>
          <w:sz w:val="16"/>
          <w:szCs w:val="16"/>
        </w:rPr>
      </w:pPr>
      <w:r>
        <w:rPr>
          <w:rFonts w:ascii="Times New Roman" w:hAnsi="Times New Roman" w:eastAsia="Songti SC"/>
          <w:sz w:val="20"/>
        </w:rPr>
        <w:t>[2] J. Wang, S. Quan, Z. Cai, S. Xing, Y. Li, and W. Meng, "Translation difference characterization for PolSAR ship extraction," IEEE Trans. Geosci. Remote Sens., vol. 64, Art. no. 5202415, 2026.</w:t>
      </w:r>
    </w:p>
    <w:p w14:paraId="27769EE7">
      <w:pPr>
        <w:spacing w:before="0" w:after="30" w:line="240" w:lineRule="auto"/>
        <w:ind w:left="240" w:hanging="240"/>
        <w:rPr>
          <w:color w:val="222222"/>
          <w:sz w:val="16"/>
          <w:szCs w:val="16"/>
        </w:rPr>
      </w:pPr>
      <w:r>
        <w:rPr>
          <w:rFonts w:ascii="Times New Roman" w:hAnsi="Times New Roman" w:eastAsia="Songti SC"/>
          <w:sz w:val="20"/>
        </w:rPr>
        <w:t>[3] Z. Sun et al., "Arbitrary-direction SAR ship detection method for multiscale imbalance," IEEE Trans. Geosci. Remote Sens., vol. 63, Art. no. 5208921, 2025.</w:t>
      </w:r>
    </w:p>
    <w:p w14:paraId="768F923C">
      <w:pPr>
        <w:spacing w:before="0" w:after="30" w:line="240" w:lineRule="auto"/>
        <w:ind w:left="240" w:hanging="240"/>
        <w:rPr>
          <w:color w:val="222222"/>
          <w:sz w:val="16"/>
          <w:szCs w:val="16"/>
        </w:rPr>
      </w:pPr>
      <w:r>
        <w:rPr>
          <w:rFonts w:ascii="Times New Roman" w:hAnsi="Times New Roman" w:eastAsia="Songti SC"/>
          <w:sz w:val="20"/>
        </w:rPr>
        <w:t>[4] Y. Li, W. Zhu, C. Li, and C. Zeng, "SAR image near-shore ship target detection in complex background," Int. J. Remote Sens., vol. 44, no. 3, pp. 924–952, 2023.</w:t>
      </w:r>
    </w:p>
    <w:p w14:paraId="2527CE01">
      <w:pPr>
        <w:spacing w:before="0" w:after="30" w:line="240" w:lineRule="auto"/>
        <w:ind w:left="240" w:hanging="240"/>
        <w:rPr>
          <w:color w:val="222222"/>
          <w:sz w:val="16"/>
          <w:szCs w:val="16"/>
        </w:rPr>
      </w:pPr>
      <w:r>
        <w:rPr>
          <w:rFonts w:ascii="Times New Roman" w:hAnsi="Times New Roman" w:eastAsia="Songti SC"/>
          <w:sz w:val="20"/>
        </w:rPr>
        <w:t>[5] G. Song, Y. Deng, H. Zhang, X. Liu, and S. Chang, "Improving SAR ship detection accuracy by optimizing polarization modes: A study of generalized compact polarimetry (GCP) performance," Remote Sens., vol. 17, no. 11, Art. no. 1951, Jun. 2025.</w:t>
      </w:r>
    </w:p>
    <w:p w14:paraId="1F6D890F">
      <w:pPr>
        <w:spacing w:before="0" w:after="30" w:line="240" w:lineRule="auto"/>
        <w:ind w:left="240" w:hanging="240"/>
        <w:rPr>
          <w:color w:val="222222"/>
          <w:sz w:val="16"/>
          <w:szCs w:val="16"/>
        </w:rPr>
      </w:pPr>
      <w:r>
        <w:rPr>
          <w:rFonts w:ascii="Times New Roman" w:hAnsi="Times New Roman" w:eastAsia="Songti SC"/>
          <w:sz w:val="20"/>
        </w:rPr>
        <w:t>[6] M. di Bisceglie and C. Galdi, "CFAR detection of extended objects in high-resolution SAR images," IEEE Trans. Geosci. Remote Sens., vol. 43, no. 4, pp. 833–843, Apr. 2005.</w:t>
      </w:r>
    </w:p>
    <w:p w14:paraId="6E228556">
      <w:pPr>
        <w:spacing w:before="0" w:after="30" w:line="240" w:lineRule="auto"/>
        <w:ind w:left="240" w:hanging="240"/>
        <w:rPr>
          <w:color w:val="222222"/>
          <w:sz w:val="16"/>
          <w:szCs w:val="16"/>
        </w:rPr>
      </w:pPr>
      <w:r>
        <w:rPr>
          <w:rFonts w:ascii="Times New Roman" w:hAnsi="Times New Roman" w:eastAsia="Songti SC"/>
          <w:sz w:val="20"/>
        </w:rPr>
        <w:t>[7] G. Gao and G. Shi, "CFAR ship detection in nonhomogeneous sea clutter using polarimetric SAR data based on the notch filter," IEEE Trans. Geosci. Remote Sens., vol. 55, no. 8, pp. 4811–4824, Aug. 2017.</w:t>
      </w:r>
    </w:p>
    <w:p w14:paraId="52EDB5C0">
      <w:pPr>
        <w:spacing w:before="0" w:after="30" w:line="240" w:lineRule="auto"/>
        <w:ind w:left="240" w:hanging="240"/>
        <w:rPr>
          <w:color w:val="222222"/>
          <w:sz w:val="16"/>
          <w:szCs w:val="16"/>
        </w:rPr>
      </w:pPr>
      <w:r>
        <w:rPr>
          <w:rFonts w:ascii="Times New Roman" w:hAnsi="Times New Roman" w:eastAsia="Songti SC"/>
          <w:sz w:val="20"/>
        </w:rPr>
        <w:t>[8] V. Larson, L. Novak, and C. Stewart, "Joint spatial-polarimetric whitening filter to improve SAR target detection performance for spatially distributed targets," in Proc. SPIE, vol. 2230, Orlando, FL, USA, 1994, pp. 285–301.</w:t>
      </w:r>
    </w:p>
    <w:p w14:paraId="12E63848">
      <w:pPr>
        <w:spacing w:before="0" w:after="30" w:line="240" w:lineRule="auto"/>
        <w:ind w:left="240" w:hanging="240"/>
        <w:rPr>
          <w:color w:val="222222"/>
          <w:sz w:val="16"/>
          <w:szCs w:val="16"/>
        </w:rPr>
      </w:pPr>
      <w:r>
        <w:rPr>
          <w:rFonts w:ascii="Times New Roman" w:hAnsi="Times New Roman" w:eastAsia="Songti SC"/>
          <w:sz w:val="20"/>
        </w:rPr>
        <w:t>[9] G. Liu, S. Huang, A. Torre, and F. Rubertone, "The multilook polarimetric whitening filter (MPWF) for intensity speckle reduction in polarimetric SAR images," IEEE Trans. Geosci. Remote Sens., vol. 36, no. 3, pp. 1016–1020, May 1998.</w:t>
      </w:r>
    </w:p>
    <w:p w14:paraId="5B1B30E2">
      <w:pPr>
        <w:spacing w:before="0" w:after="30" w:line="240" w:lineRule="auto"/>
        <w:ind w:left="240" w:hanging="240"/>
        <w:rPr>
          <w:color w:val="222222"/>
          <w:sz w:val="16"/>
          <w:szCs w:val="16"/>
        </w:rPr>
      </w:pPr>
      <w:r>
        <w:rPr>
          <w:rFonts w:ascii="Times New Roman" w:hAnsi="Times New Roman" w:eastAsia="Songti SC"/>
          <w:sz w:val="20"/>
        </w:rPr>
        <w:t>[10] W. Fan, F. Zhou, M. Tao, X. Bai, X. Shi, and H. Xu, "An automatic ship detection method for PolSAR data based on K-Wishart distribution," IEEE J. Sel. Topics Appl. Earth Observ. Remote Sens., vol. 10, no. 6, pp. 2725–2737, Jun. 2017.</w:t>
      </w:r>
    </w:p>
    <w:p w14:paraId="1DD3B9C2">
      <w:pPr>
        <w:spacing w:before="0" w:after="30" w:line="240" w:lineRule="auto"/>
        <w:ind w:left="240" w:hanging="240"/>
        <w:rPr>
          <w:color w:val="222222"/>
          <w:sz w:val="16"/>
          <w:szCs w:val="16"/>
        </w:rPr>
      </w:pPr>
      <w:r>
        <w:rPr>
          <w:rFonts w:ascii="Times New Roman" w:hAnsi="Times New Roman" w:eastAsia="Songti SC"/>
          <w:sz w:val="20"/>
        </w:rPr>
        <w:t>[11] S. R. DeGraaf, "SAR image enhancement via adaptive polarization synthesis and polarimetric detection performance," in Proc. Polarimetric Technol. Workshop, vol. I.1, Redstone Arsenal, AL, USA, Aug. 1988, pp. 615–631.</w:t>
      </w:r>
    </w:p>
    <w:p w14:paraId="2C4289A8">
      <w:pPr>
        <w:spacing w:before="0" w:after="30" w:line="240" w:lineRule="auto"/>
        <w:ind w:left="240" w:hanging="240"/>
        <w:rPr>
          <w:color w:val="222222"/>
          <w:sz w:val="16"/>
          <w:szCs w:val="16"/>
        </w:rPr>
      </w:pPr>
      <w:r>
        <w:rPr>
          <w:rFonts w:ascii="Times New Roman" w:hAnsi="Times New Roman" w:eastAsia="Songti SC"/>
          <w:sz w:val="20"/>
        </w:rPr>
        <w:t>[12] N. Wang, G. Shi, L. Liu, L. Zhao, and G. Kuang, "Polarimetric SAR target detection using the reflection symmetry," IEEE Geosci. Remote Sens. Lett., vol. 9, no. 6, pp. 1104–1108, Nov. 2012.</w:t>
      </w:r>
    </w:p>
    <w:p w14:paraId="2A37D39C">
      <w:pPr>
        <w:spacing w:before="0" w:after="30" w:line="240" w:lineRule="auto"/>
        <w:ind w:left="240" w:hanging="240"/>
        <w:rPr>
          <w:color w:val="222222"/>
          <w:sz w:val="16"/>
          <w:szCs w:val="16"/>
        </w:rPr>
      </w:pPr>
      <w:r>
        <w:rPr>
          <w:rFonts w:ascii="Times New Roman" w:hAnsi="Times New Roman" w:eastAsia="Songti SC"/>
          <w:sz w:val="20"/>
        </w:rPr>
        <w:t>[13] A. Marino, "A notch filter for ship detection with polarimetric SAR data," IEEE J. Sel. Topics Appl. Earth Observ. Remote Sens., vol. 6, no. 3, pp. 1219–1232, Jun. 2013.</w:t>
      </w:r>
    </w:p>
    <w:p w14:paraId="3AF6D531">
      <w:pPr>
        <w:spacing w:before="0" w:after="30" w:line="240" w:lineRule="auto"/>
        <w:ind w:left="240" w:hanging="240"/>
        <w:rPr>
          <w:color w:val="222222"/>
          <w:sz w:val="16"/>
          <w:szCs w:val="16"/>
        </w:rPr>
      </w:pPr>
      <w:r>
        <w:rPr>
          <w:rFonts w:ascii="Times New Roman" w:hAnsi="Times New Roman" w:eastAsia="Songti SC"/>
          <w:sz w:val="20"/>
        </w:rPr>
        <w:t>[14] S. R. Cloude, "Target detection using rank-1 polarimetric processing," IEEE Geosci. Remote Sens. Lett., vol. 18, no. 4, pp. 717–720, Apr. 2021.</w:t>
      </w:r>
    </w:p>
    <w:p w14:paraId="5DE85353">
      <w:pPr>
        <w:spacing w:before="0" w:after="30" w:line="240" w:lineRule="auto"/>
        <w:ind w:left="240" w:hanging="240"/>
        <w:rPr>
          <w:color w:val="222222"/>
          <w:sz w:val="16"/>
          <w:szCs w:val="16"/>
        </w:rPr>
      </w:pPr>
      <w:r>
        <w:rPr>
          <w:rFonts w:ascii="Times New Roman" w:hAnsi="Times New Roman" w:eastAsia="Songti SC"/>
          <w:sz w:val="20"/>
        </w:rPr>
        <w:t>[15] H. Li, S. Liu, and S. Chen, "PolSAR ship characterization and robust detection at different grazing angles with polarimetric roll-invariant features," IEEE Trans. Geosci. Remote Sens., vol. 62, Art. no. 5219712, 2024.</w:t>
      </w:r>
    </w:p>
    <w:p w14:paraId="7FA0D505">
      <w:pPr>
        <w:spacing w:before="0" w:after="30" w:line="240" w:lineRule="auto"/>
        <w:ind w:left="240" w:hanging="240"/>
        <w:rPr>
          <w:color w:val="222222"/>
          <w:sz w:val="16"/>
          <w:szCs w:val="16"/>
        </w:rPr>
      </w:pPr>
      <w:r>
        <w:rPr>
          <w:rFonts w:ascii="Times New Roman" w:hAnsi="Times New Roman" w:eastAsia="Songti SC"/>
          <w:sz w:val="20"/>
        </w:rPr>
        <w:t>[16] S. Quan, T. Zhang, S. Xing, X. Wang, and Q. Yu, "Maritime ship detection with concise polarimetric characterization pattern," Int. J. Appl. Earth Observ. Geoinf., vol. 131, Art. no. 103954, Jul. 2024.</w:t>
      </w:r>
    </w:p>
    <w:p w14:paraId="1BF8480E">
      <w:pPr>
        <w:spacing w:before="0" w:after="30" w:line="240" w:lineRule="auto"/>
        <w:ind w:left="240" w:hanging="240"/>
        <w:rPr>
          <w:color w:val="222222"/>
          <w:sz w:val="16"/>
          <w:szCs w:val="16"/>
        </w:rPr>
      </w:pPr>
      <w:r>
        <w:rPr>
          <w:rFonts w:ascii="Times New Roman" w:hAnsi="Times New Roman" w:eastAsia="Songti SC"/>
          <w:sz w:val="20"/>
        </w:rPr>
        <w:t>[17] Y. Yamaguchi, T. Moriyama, M. Ishido, and H. Yamada, "Four-component scattering model for polarimetric SAR image decomposition," IEEE Trans. Geosci. Remote Sens., vol. 43, no. 8, pp. 1699–1706, Aug. 2005.</w:t>
      </w:r>
    </w:p>
    <w:p w14:paraId="283C4210">
      <w:pPr>
        <w:spacing w:before="0" w:after="30" w:line="240" w:lineRule="auto"/>
        <w:ind w:left="240" w:hanging="240"/>
        <w:rPr>
          <w:color w:val="222222"/>
          <w:sz w:val="16"/>
          <w:szCs w:val="16"/>
        </w:rPr>
      </w:pPr>
      <w:r>
        <w:rPr>
          <w:rFonts w:ascii="Times New Roman" w:hAnsi="Times New Roman" w:eastAsia="Songti SC"/>
          <w:sz w:val="20"/>
        </w:rPr>
        <w:t>[18] A. Sato, Y. Yamaguchi, G. Singh, and S.-E. Park, "Four-component scattering power decomposition with extended volume scattering model," IEEE Geosci. Remote Sens. Lett., vol. 9, no. 2, pp. 166–170, Mar. 2012.</w:t>
      </w:r>
    </w:p>
    <w:p w14:paraId="4A68E956">
      <w:pPr>
        <w:spacing w:before="0" w:after="30" w:line="240" w:lineRule="auto"/>
        <w:ind w:left="240" w:hanging="240"/>
        <w:rPr>
          <w:color w:val="222222"/>
          <w:sz w:val="16"/>
          <w:szCs w:val="16"/>
        </w:rPr>
      </w:pPr>
      <w:r>
        <w:rPr>
          <w:rFonts w:ascii="Times New Roman" w:hAnsi="Times New Roman" w:eastAsia="Songti SC"/>
          <w:sz w:val="20"/>
        </w:rPr>
        <w:t>[19] J. Wang, S. Quan, S. Xing, et al., "PSO-based fine polarimetric decomposition for ship scattering characterization," ISPRS J. Photogramm. Remote Sens., vol. 220, pp. 18–31, Feb. 2025.</w:t>
      </w:r>
    </w:p>
    <w:p w14:paraId="28B2ADA6">
      <w:pPr>
        <w:spacing w:before="0" w:after="30" w:line="240" w:lineRule="auto"/>
        <w:ind w:left="240" w:hanging="240"/>
        <w:rPr>
          <w:color w:val="222222"/>
          <w:sz w:val="16"/>
          <w:szCs w:val="16"/>
        </w:rPr>
      </w:pPr>
      <w:r>
        <w:rPr>
          <w:rFonts w:ascii="Times New Roman" w:hAnsi="Times New Roman" w:eastAsia="Songti SC"/>
          <w:sz w:val="20"/>
        </w:rPr>
        <w:t>[20] C. Zhang, G. Gao, L. Zhang, et al., "A novel full-polarization SAR image ship detector based on scattering mechanisms and wave polarization anisotropy," ISPRS J. Photogramm. Remote Sens., vol. 190, pp. 129–143, Oct. 2022.</w:t>
      </w:r>
    </w:p>
    <w:p w14:paraId="3083E19F">
      <w:pPr>
        <w:spacing w:before="0" w:after="30" w:line="240" w:lineRule="auto"/>
        <w:ind w:left="240" w:hanging="240"/>
        <w:rPr>
          <w:color w:val="222222"/>
          <w:sz w:val="16"/>
          <w:szCs w:val="16"/>
        </w:rPr>
      </w:pPr>
      <w:r>
        <w:rPr>
          <w:rFonts w:ascii="Times New Roman" w:hAnsi="Times New Roman" w:eastAsia="Songti SC"/>
          <w:sz w:val="20"/>
        </w:rPr>
        <w:t>[21] C. Qin, L. Zhang, X. Wang, G. Li, Y. He, and Y. Liu, "RDB-DINO: An improved end-to-end transformer with refined de-noising and boxes for small-scale ship detection in SAR images," IEEE Trans. Geosci. Remote Sens., vol. 63, Art. no. 5207617, 2025.</w:t>
      </w:r>
    </w:p>
    <w:p w14:paraId="5D0F1F47">
      <w:pPr>
        <w:spacing w:before="0" w:after="30" w:line="240" w:lineRule="auto"/>
        <w:ind w:left="240" w:hanging="240"/>
        <w:rPr>
          <w:color w:val="222222"/>
          <w:sz w:val="16"/>
          <w:szCs w:val="16"/>
        </w:rPr>
      </w:pPr>
      <w:r>
        <w:rPr>
          <w:rFonts w:ascii="Times New Roman" w:hAnsi="Times New Roman" w:eastAsia="Songti SC"/>
          <w:sz w:val="20"/>
        </w:rPr>
        <w:t>[22] Y. Chen, J. Yan, Y. Liu, and Z. Gao, "LRS2-DM: Small ship target detection in low-resolution remote sensing images based on diffusion models," IEEE Trans. Geosci. Remote Sens., vol. 63, Art. no. 5211215, 2025.</w:t>
      </w:r>
    </w:p>
    <w:p w14:paraId="39D9EDCF">
      <w:pPr>
        <w:spacing w:before="0" w:after="30" w:line="240" w:lineRule="auto"/>
        <w:ind w:left="240" w:hanging="240"/>
        <w:rPr>
          <w:color w:val="222222"/>
          <w:sz w:val="16"/>
          <w:szCs w:val="16"/>
        </w:rPr>
      </w:pPr>
      <w:r>
        <w:rPr>
          <w:rFonts w:ascii="Times New Roman" w:hAnsi="Times New Roman" w:eastAsia="Songti SC"/>
          <w:sz w:val="20"/>
        </w:rPr>
        <w:t>[23] Z. Cai, S. Quan, J. Wang, et al., "MaOutCNN: A physical mechanism coupled MambaOut-CNN detection network with maiden-released interference polarized ship detection dataset," ISPRS J. Photogramm. Remote Sens., vol. 236, pp. 500–527, 2026.</w:t>
      </w:r>
    </w:p>
    <w:p w14:paraId="0E04AC15">
      <w:pPr>
        <w:spacing w:before="0" w:after="30" w:line="240" w:lineRule="auto"/>
        <w:ind w:left="240" w:hanging="240"/>
        <w:rPr>
          <w:color w:val="222222"/>
          <w:sz w:val="16"/>
          <w:szCs w:val="16"/>
        </w:rPr>
      </w:pPr>
      <w:r>
        <w:rPr>
          <w:rFonts w:ascii="Times New Roman" w:hAnsi="Times New Roman" w:eastAsia="Songti SC"/>
          <w:sz w:val="20"/>
        </w:rPr>
        <w:t>[24] Y. Yin, Z. Yang, H. Shi, F. Meng, and W. Li, "Ship detection transformer in SAR images based on key scattering points feature aggregation and context feature refinement," IEEE J. Sel. Topics Appl. Earth Observ. Remote Sens., vol. 18, pp. 17820–17836, 2025.</w:t>
      </w:r>
    </w:p>
    <w:p w14:paraId="24DB17E2">
      <w:pPr>
        <w:spacing w:before="0" w:after="30" w:line="240" w:lineRule="auto"/>
        <w:ind w:left="240" w:hanging="240"/>
        <w:rPr>
          <w:color w:val="222222"/>
          <w:sz w:val="16"/>
          <w:szCs w:val="16"/>
        </w:rPr>
      </w:pPr>
      <w:r>
        <w:rPr>
          <w:rFonts w:ascii="Times New Roman" w:hAnsi="Times New Roman" w:eastAsia="Songti SC"/>
          <w:sz w:val="20"/>
        </w:rPr>
        <w:t>[25] Z. Zhou, S. Li, Y. Lv, et al., "LightKD-SAR: Lightweight architecture with knowledge distillation for high-performance SAR object detection," IEEE J. Sel. Topics Appl. Earth Observ. Remote Sens., vol. 19, pp. 4935–4949, 2026.</w:t>
      </w:r>
    </w:p>
    <w:p w14:paraId="720A7C44">
      <w:pPr>
        <w:spacing w:before="0" w:after="30" w:line="240" w:lineRule="auto"/>
        <w:ind w:left="240" w:hanging="240"/>
        <w:rPr>
          <w:color w:val="222222"/>
          <w:sz w:val="16"/>
          <w:szCs w:val="16"/>
        </w:rPr>
      </w:pPr>
      <w:r>
        <w:rPr>
          <w:rFonts w:ascii="Times New Roman" w:hAnsi="Times New Roman" w:eastAsia="Songti SC"/>
          <w:sz w:val="20"/>
        </w:rPr>
        <w:t>[26] G. Hinton, O. Vinyals, and J. Dean, "Distilling the knowledge in a neural network," arXiv:1503.02531, 2015. [Online]. Available: https://arxiv.org/abs/1503.02531</w:t>
      </w:r>
    </w:p>
    <w:p w14:paraId="7D8E2A5C">
      <w:pPr>
        <w:spacing w:before="0" w:after="30" w:line="240" w:lineRule="auto"/>
        <w:ind w:left="240" w:hanging="240"/>
        <w:rPr>
          <w:color w:val="222222"/>
          <w:sz w:val="16"/>
          <w:szCs w:val="16"/>
        </w:rPr>
      </w:pPr>
      <w:r>
        <w:rPr>
          <w:rFonts w:ascii="Times New Roman" w:hAnsi="Times New Roman" w:eastAsia="Songti SC"/>
          <w:sz w:val="20"/>
        </w:rPr>
        <w:t>[27] W. Zhou, Y. Li, J. Huang, Y. Liu, and Q. Jiang, "MSTNet-KD: Multilevel transfer networks using knowledge distillation for the dense prediction of remote-sensing images," IEEE Trans. Geosci. Remote Sens., vol. 62, Art. no. 4504612, 2024.</w:t>
      </w:r>
    </w:p>
    <w:p w14:paraId="76A297CC">
      <w:pPr>
        <w:spacing w:before="0" w:after="30" w:line="240" w:lineRule="auto"/>
        <w:ind w:left="240" w:hanging="240"/>
        <w:rPr>
          <w:color w:val="222222"/>
          <w:sz w:val="16"/>
          <w:szCs w:val="16"/>
        </w:rPr>
      </w:pPr>
      <w:r>
        <w:rPr>
          <w:rFonts w:ascii="Times New Roman" w:hAnsi="Times New Roman" w:eastAsia="Songti SC"/>
          <w:sz w:val="20"/>
        </w:rPr>
        <w:t>[28] X. Yang, H. Zhang, S. Zhang, and N. Wang, "Prompt-driven knowledge distillation for remote sensing object detection," IEEE Trans. Image Process., vol. 35, pp. 3023–3037, 2026.</w:t>
      </w:r>
    </w:p>
    <w:p w14:paraId="596DD14E">
      <w:pPr>
        <w:spacing w:before="0" w:after="30" w:line="240" w:lineRule="auto"/>
        <w:ind w:left="240" w:hanging="240"/>
        <w:rPr>
          <w:color w:val="222222"/>
          <w:sz w:val="16"/>
          <w:szCs w:val="16"/>
        </w:rPr>
      </w:pPr>
      <w:r>
        <w:rPr>
          <w:rFonts w:ascii="Times New Roman" w:hAnsi="Times New Roman" w:eastAsia="Songti SC"/>
          <w:sz w:val="20"/>
        </w:rPr>
        <w:t>[29] S. Chen, R. Zhan, W. Wang, et al., "Learning slimming SAR ship object detector through network pruning and knowledge distillation," IEEE J. Sel. Topics Appl. Earth Observ. Remote Sens., vol. 14, pp. 1267–1282, 2021.</w:t>
      </w:r>
    </w:p>
    <w:p w14:paraId="64A2D88A">
      <w:pPr>
        <w:spacing w:before="0" w:after="30" w:line="240" w:lineRule="auto"/>
        <w:ind w:left="240" w:hanging="240"/>
        <w:rPr>
          <w:color w:val="222222"/>
          <w:sz w:val="16"/>
          <w:szCs w:val="16"/>
        </w:rPr>
      </w:pPr>
      <w:r>
        <w:rPr>
          <w:rFonts w:ascii="Times New Roman" w:hAnsi="Times New Roman" w:eastAsia="Songti SC"/>
          <w:sz w:val="20"/>
        </w:rPr>
        <w:t>[30] Y. Himeur et al., "Applications of knowledge distillation in remote sensing: A survey," Inf. Fusion, vol. 115, Art. no. 102742, Mar. 2025.</w:t>
      </w:r>
    </w:p>
    <w:p w14:paraId="3E48F7AD">
      <w:pPr>
        <w:spacing w:before="0" w:after="30" w:line="240" w:lineRule="auto"/>
        <w:ind w:left="240" w:hanging="240"/>
        <w:rPr>
          <w:color w:val="222222"/>
          <w:sz w:val="16"/>
          <w:szCs w:val="16"/>
        </w:rPr>
      </w:pPr>
      <w:r>
        <w:rPr>
          <w:rFonts w:ascii="Times New Roman" w:hAnsi="Times New Roman" w:eastAsia="Songti SC"/>
          <w:sz w:val="20"/>
        </w:rPr>
        <w:t>[31] Y. Cheng, D. Wang, P. Zhou, and T. Zhang, "Model compression and acceleration for deep neural networks: The principles, progress, and challenges," IEEE Signal Process. Mag., vol. 35, no. 1, pp. 126–136, Jan. 2018.</w:t>
      </w:r>
    </w:p>
    <w:p w14:paraId="2A3F5592">
      <w:pPr>
        <w:spacing w:before="0" w:after="30" w:line="240" w:lineRule="auto"/>
        <w:ind w:left="240" w:hanging="240"/>
        <w:rPr>
          <w:color w:val="222222"/>
          <w:sz w:val="16"/>
          <w:szCs w:val="16"/>
        </w:rPr>
      </w:pPr>
      <w:r>
        <w:rPr>
          <w:rFonts w:ascii="Times New Roman" w:hAnsi="Times New Roman" w:eastAsia="Songti SC"/>
          <w:sz w:val="20"/>
        </w:rPr>
        <w:t>[32] N. Otsu, "A threshold selection method from gray-level histograms," IEEE Trans. Syst., Man, Cybern., vol. SMC-9, no. 1, pp. 62–66, Jan. 1979.</w:t>
      </w:r>
    </w:p>
    <w:p w14:paraId="14CABBBE">
      <w:pPr>
        <w:spacing w:before="0" w:after="30" w:line="240" w:lineRule="auto"/>
        <w:ind w:left="240" w:hanging="240"/>
        <w:rPr>
          <w:color w:val="222222"/>
          <w:sz w:val="16"/>
          <w:szCs w:val="16"/>
        </w:rPr>
      </w:pPr>
      <w:r>
        <w:rPr>
          <w:rFonts w:ascii="Times New Roman" w:hAnsi="Times New Roman" w:eastAsia="Songti SC"/>
          <w:sz w:val="20"/>
        </w:rPr>
        <w:t>[33] Recommendation ITU-R BT.601-7, "Studio encoding parameters of digital television for standard 4:3 and wide-screen 16:9 aspect ratios," Int. Telecommun. Union, Geneva, Switzerland, Mar. 2011.</w:t>
      </w:r>
    </w:p>
    <w:p w14:paraId="7452F4EC">
      <w:pPr>
        <w:spacing w:before="0" w:after="30" w:line="240" w:lineRule="auto"/>
        <w:ind w:left="240" w:hanging="240"/>
        <w:rPr>
          <w:color w:val="222222"/>
          <w:sz w:val="16"/>
          <w:szCs w:val="16"/>
        </w:rPr>
      </w:pPr>
      <w:r>
        <w:rPr>
          <w:rFonts w:ascii="Times New Roman" w:hAnsi="Times New Roman" w:eastAsia="Songti SC"/>
          <w:sz w:val="20"/>
        </w:rPr>
        <w:t>[34] M. Schmidt and H. Lipson, "Distilling free-form natural laws from experimental data," Science, vol. 324, no. 5923, pp. 81–85, Apr. 2009.</w:t>
      </w:r>
    </w:p>
    <w:p w14:paraId="4281C3D1">
      <w:pPr>
        <w:spacing w:before="0" w:after="30" w:line="240" w:lineRule="auto"/>
        <w:ind w:left="240" w:hanging="240"/>
        <w:rPr>
          <w:color w:val="222222"/>
          <w:sz w:val="16"/>
          <w:szCs w:val="16"/>
        </w:rPr>
      </w:pPr>
      <w:r>
        <w:rPr>
          <w:rFonts w:ascii="Times New Roman" w:hAnsi="Times New Roman" w:eastAsia="Songti SC"/>
          <w:sz w:val="20"/>
        </w:rPr>
        <w:t>[35] W. La Cava et al., "Contemporary symbolic regression methods and their relative performance," in Proc. Adv. Neural Inf. Process. Syst. (NeurIPS), Datasets Benchmarks Track, 2021. [Online]. Available: https://arxiv.org/abs/2107.14351</w:t>
      </w:r>
    </w:p>
    <w:p w14:paraId="4F416D32">
      <w:pPr>
        <w:spacing w:before="0" w:after="30" w:line="240" w:lineRule="auto"/>
        <w:ind w:left="240" w:hanging="240"/>
        <w:rPr>
          <w:color w:val="222222"/>
          <w:sz w:val="16"/>
          <w:szCs w:val="16"/>
        </w:rPr>
      </w:pPr>
      <w:r>
        <w:rPr>
          <w:rFonts w:ascii="Times New Roman" w:hAnsi="Times New Roman" w:eastAsia="Songti SC"/>
          <w:sz w:val="20"/>
        </w:rPr>
        <w:t>[36] M. Cranmer, "PySR: Fast and parallelized symbolic regression in Python/Julia," 2020, doi: 10.5281/zenodo.4041459.</w:t>
      </w:r>
    </w:p>
    <w:p w14:paraId="5E5942BC">
      <w:pPr>
        <w:spacing w:before="0" w:after="30" w:line="240" w:lineRule="auto"/>
        <w:ind w:left="240" w:hanging="240"/>
        <w:rPr>
          <w:color w:val="222222"/>
          <w:sz w:val="16"/>
          <w:szCs w:val="16"/>
        </w:rPr>
      </w:pPr>
      <w:r>
        <w:rPr>
          <w:rFonts w:ascii="Times New Roman" w:hAnsi="Times New Roman" w:eastAsia="Songti SC"/>
          <w:sz w:val="20"/>
        </w:rPr>
        <w:t>[37] S.-H. Jang, "GoodRegressor: A general-purpose symbolic regression framework for physically interpretable materials modeling," arXiv:2510.18325, 2025. [Online]. Available: https://arxiv.org/abs/2510.18325</w:t>
      </w:r>
    </w:p>
    <w:p w14:paraId="59699B86">
      <w:pPr>
        <w:spacing w:before="0" w:after="30" w:line="240" w:lineRule="auto"/>
        <w:ind w:left="240" w:hanging="240"/>
        <w:rPr>
          <w:color w:val="222222"/>
          <w:sz w:val="16"/>
          <w:szCs w:val="16"/>
        </w:rPr>
      </w:pPr>
      <w:r>
        <w:rPr>
          <w:rFonts w:ascii="Times New Roman" w:hAnsi="Times New Roman" w:eastAsia="Songti SC"/>
          <w:sz w:val="20"/>
        </w:rPr>
        <w:t>[38] M. Udrescu and T. Tegmark, "AI Feynman: A physics-inspired method for symbolic regression," Sci. Adv., vol. 6, no. 16, Art. no. eaay2631, Apr. 2020.</w:t>
      </w:r>
    </w:p>
    <w:p w14:paraId="7F11121D">
      <w:pPr>
        <w:spacing w:before="0" w:after="30" w:line="240" w:lineRule="auto"/>
        <w:ind w:left="240" w:hanging="240"/>
        <w:rPr>
          <w:color w:val="222222"/>
          <w:sz w:val="16"/>
          <w:szCs w:val="16"/>
        </w:rPr>
      </w:pPr>
      <w:r>
        <w:rPr>
          <w:rFonts w:ascii="Times New Roman" w:hAnsi="Times New Roman" w:eastAsia="Songti SC"/>
          <w:sz w:val="20"/>
        </w:rPr>
        <w:t>[39] S. Brunton, J. Proctor, and J. Kutz, "Discovering governing equations from data by sparse identification of nonlinear dynamical systems," Proc. Natl. Acad. Sci. USA, vol. 113, no. 15, pp. 3932–3937, Apr. 2016.</w:t>
      </w:r>
    </w:p>
    <w:p w14:paraId="65A16510">
      <w:pPr>
        <w:spacing w:before="0" w:after="30" w:line="240" w:lineRule="auto"/>
        <w:ind w:left="240" w:hanging="240"/>
        <w:rPr>
          <w:color w:val="222222"/>
          <w:sz w:val="16"/>
          <w:szCs w:val="16"/>
        </w:rPr>
      </w:pPr>
      <w:r>
        <w:rPr>
          <w:rFonts w:ascii="Times New Roman" w:hAnsi="Times New Roman" w:eastAsia="Songti SC"/>
          <w:sz w:val="20"/>
        </w:rPr>
        <w:t>[40] Q. Li, C. Zhang, Z. Wei, et al., "Advancing symbolic regression for earth science with a focus on evapotranspiration modeling," npj Climate Atmos. Sci., vol. 7, no. 1, Art. no. 321, 2024.</w:t>
      </w:r>
    </w:p>
    <w:p w14:paraId="36E54E93">
      <w:pPr>
        <w:spacing w:before="0" w:after="30" w:line="240" w:lineRule="auto"/>
        <w:ind w:left="240" w:hanging="240"/>
        <w:rPr>
          <w:color w:val="222222"/>
          <w:sz w:val="16"/>
          <w:szCs w:val="16"/>
        </w:rPr>
      </w:pPr>
      <w:r>
        <w:rPr>
          <w:rFonts w:ascii="Times New Roman" w:hAnsi="Times New Roman" w:eastAsia="Songti SC"/>
          <w:sz w:val="20"/>
        </w:rPr>
        <w:t>[41] Z. Yu, M. Y. I. Idris, and P. Wang, "Physics-constrained symbolic regression from imagery," in Proc. 2nd AI Math Workshop, 42nd Int. Conf. Mach. Learn. (ICML), Vancouver, BC, Canada, Jul. 2025.</w:t>
      </w:r>
    </w:p>
    <w:p w14:paraId="14A0C570">
      <w:pPr>
        <w:spacing w:before="0" w:after="30" w:line="240" w:lineRule="auto"/>
        <w:ind w:left="240" w:hanging="240"/>
        <w:rPr>
          <w:color w:val="222222"/>
          <w:sz w:val="16"/>
          <w:szCs w:val="16"/>
        </w:rPr>
      </w:pPr>
      <w:r>
        <w:rPr>
          <w:rFonts w:ascii="Times New Roman" w:hAnsi="Times New Roman" w:eastAsia="Songti SC"/>
          <w:sz w:val="20"/>
        </w:rPr>
        <w:t>[42] Z. Yu, M. Y. I. Idris, P. Wang, Y. Xia, F. Ma, and R. Qureshi, "SatelliteFormula: Multi-modal symbolic regression from remote sensing imagery for physics discovery," arXiv:2506.06176, 2025. [Online]. Available: https://arxiv.org/abs/2506.06176</w:t>
      </w:r>
    </w:p>
    <w:p w14:paraId="2BC5EBEA">
      <w:pPr>
        <w:spacing w:before="0" w:after="30" w:line="240" w:lineRule="auto"/>
        <w:ind w:left="240" w:hanging="240"/>
        <w:rPr>
          <w:color w:val="222222"/>
          <w:sz w:val="16"/>
          <w:szCs w:val="16"/>
        </w:rPr>
      </w:pPr>
      <w:r>
        <w:rPr>
          <w:rFonts w:ascii="Times New Roman" w:hAnsi="Times New Roman" w:eastAsia="Songti SC"/>
          <w:sz w:val="20"/>
        </w:rPr>
        <w:t>[43] M. Cranmer et al., "Discovering symbolic models from deep learning with inductive biases," in Proc. Adv. Neural Inf. Process. Syst. (NeurIPS), 2020, pp. 17429–17442.</w:t>
      </w:r>
    </w:p>
    <w:p w14:paraId="498BB611">
      <w:pPr>
        <w:spacing w:before="0" w:after="30" w:line="240" w:lineRule="auto"/>
        <w:ind w:left="240" w:hanging="240"/>
        <w:rPr>
          <w:color w:val="222222"/>
          <w:sz w:val="16"/>
          <w:szCs w:val="16"/>
        </w:rPr>
      </w:pPr>
      <w:r>
        <w:rPr>
          <w:rFonts w:ascii="Times New Roman" w:hAnsi="Times New Roman" w:eastAsia="Songti SC"/>
          <w:sz w:val="20"/>
        </w:rPr>
        <w:t>[44] A. Shmuel, T. Lazebnik, and O. Glickman, "Follow the forest trail: Distillation by gradient boosting models to enhance symbolic regression performance," IEEE Access, vol. 14, pp. 19701–19712, 2026.</w:t>
      </w:r>
    </w:p>
    <w:p w14:paraId="617ADFF1">
      <w:pPr>
        <w:spacing w:before="0" w:after="30" w:line="240" w:lineRule="auto"/>
        <w:ind w:left="240" w:hanging="240"/>
        <w:rPr>
          <w:color w:val="222222"/>
          <w:sz w:val="16"/>
          <w:szCs w:val="16"/>
        </w:rPr>
      </w:pPr>
      <w:r>
        <w:rPr>
          <w:rFonts w:ascii="Times New Roman" w:hAnsi="Times New Roman" w:eastAsia="Songti SC"/>
          <w:sz w:val="20"/>
        </w:rPr>
        <w:t>[45] S. Liu, Q. Li, X. Shen, J. Sun, and Z. Yang, "Automated discovery of symbolic laws governing skill acquisition from naturally occurring data," Nat. Comput. Sci., vol. 4, no. 5, pp. 334–345, May 2024.</w:t>
      </w:r>
    </w:p>
    <w:p w14:paraId="13EC2221">
      <w:pPr>
        <w:spacing w:before="0" w:after="30" w:line="240" w:lineRule="auto"/>
        <w:ind w:left="240" w:hanging="240"/>
        <w:rPr>
          <w:color w:val="222222"/>
          <w:sz w:val="16"/>
          <w:szCs w:val="16"/>
        </w:rPr>
      </w:pPr>
      <w:r>
        <w:rPr>
          <w:rFonts w:ascii="Times New Roman" w:hAnsi="Times New Roman" w:eastAsia="Songti SC"/>
          <w:sz w:val="20"/>
        </w:rPr>
        <w:t>[46] E. S. Z. Tan, A. Soubki, and M. Cranmer, "SymTorch: Symbolic distillation of neural networks," arXiv:2602.21307, 2026. [Online]. Available: https://arxiv.org/abs/2602.21307</w:t>
      </w:r>
    </w:p>
    <w:p w14:paraId="71A19B9A">
      <w:pPr>
        <w:spacing w:before="0" w:after="30" w:line="240" w:lineRule="auto"/>
        <w:ind w:left="240" w:hanging="240"/>
        <w:rPr>
          <w:color w:val="222222"/>
          <w:sz w:val="16"/>
          <w:szCs w:val="16"/>
        </w:rPr>
      </w:pPr>
      <w:r>
        <w:rPr>
          <w:rFonts w:ascii="Times New Roman" w:hAnsi="Times New Roman" w:eastAsia="Songti SC"/>
          <w:sz w:val="20"/>
        </w:rPr>
        <w:t>[47] A. Shmuel, N. Koren, O. Glickman, and T. Lazebnik, "Interpretable knowledge distillation via symbolic regression for feedforward neural networks," Neural Comput. Appl., vol. 38, no. 7, Art. no. 243, Apr. 2026.</w:t>
      </w:r>
    </w:p>
    <w:p w14:paraId="0D83346E">
      <w:pPr>
        <w:spacing w:before="0" w:after="30" w:line="240" w:lineRule="auto"/>
        <w:ind w:left="240" w:hanging="240"/>
        <w:rPr>
          <w:color w:val="222222"/>
          <w:sz w:val="16"/>
          <w:szCs w:val="16"/>
        </w:rPr>
      </w:pPr>
      <w:r>
        <w:rPr>
          <w:rFonts w:ascii="Times New Roman" w:hAnsi="Times New Roman" w:eastAsia="Songti SC"/>
          <w:sz w:val="20"/>
        </w:rPr>
        <w:t>[48] K. S. Fong and M. Motani, "Pareto-optimal fronts for benchmarking symbolic regression algorithms," in Proc. 42nd Int. Conf. Mach. Learn. (ICML), Vancouver, BC, Canada, Jul. 2025, pp. 17392–17410.</w:t>
      </w:r>
    </w:p>
    <w:p w14:paraId="7A3230A3">
      <w:pPr>
        <w:spacing w:before="0" w:after="30" w:line="240" w:lineRule="auto"/>
        <w:ind w:left="240" w:hanging="240"/>
        <w:rPr>
          <w:color w:val="222222"/>
          <w:sz w:val="16"/>
          <w:szCs w:val="16"/>
        </w:rPr>
      </w:pPr>
      <w:r>
        <w:rPr>
          <w:rFonts w:ascii="Times New Roman" w:hAnsi="Times New Roman" w:eastAsia="Songti SC"/>
          <w:sz w:val="20"/>
        </w:rPr>
        <w:t>[49] J. R. Koza, Genetic Programming: On the Programming of Computers by Means of Natural Selection. Cambridge, MA, USA: MIT Press, 1992.</w:t>
      </w:r>
    </w:p>
    <w:p w14:paraId="5731F7F2">
      <w:pPr>
        <w:spacing w:before="0" w:after="30" w:line="240" w:lineRule="auto"/>
        <w:ind w:left="240" w:hanging="240"/>
        <w:rPr>
          <w:color w:val="222222"/>
          <w:sz w:val="16"/>
          <w:szCs w:val="16"/>
        </w:rPr>
      </w:pPr>
      <w:r>
        <w:rPr>
          <w:rFonts w:ascii="Times New Roman" w:hAnsi="Times New Roman" w:eastAsia="Songti SC"/>
          <w:sz w:val="20"/>
        </w:rPr>
        <w:t>[50] R. P. Brent, Algorithms for Minimization Without Derivatives. Englewood Cliffs, NJ, USA: Prentice-Hall, 1973.</w:t>
      </w:r>
    </w:p>
    <w:p w14:paraId="1E9A1BD6">
      <w:pPr>
        <w:spacing w:before="0" w:after="30" w:line="240" w:lineRule="auto"/>
        <w:ind w:left="240" w:hanging="240"/>
        <w:rPr>
          <w:color w:val="222222"/>
          <w:sz w:val="16"/>
          <w:szCs w:val="16"/>
        </w:rPr>
      </w:pPr>
      <w:r>
        <w:rPr>
          <w:rFonts w:ascii="Times New Roman" w:hAnsi="Times New Roman" w:eastAsia="Songti SC"/>
          <w:sz w:val="20"/>
        </w:rPr>
        <w:t>[51] G. Gao, Q. Bai, C. Zhang, L. Zhang, and L. Yao, "Dualistic cascade convolutional neural network dedicated to fully PolSAR image ship detection," ISPRS J. Photogramm. Remote Sens., vol. 202, pp. 663–681, Aug. 2023.</w:t>
      </w:r>
    </w:p>
    <w:p w14:paraId="6A5057E4">
      <w:pPr>
        <w:spacing w:before="0" w:after="30" w:line="240" w:lineRule="auto"/>
        <w:ind w:left="240" w:hanging="240"/>
        <w:rPr>
          <w:color w:val="222222"/>
          <w:sz w:val="16"/>
          <w:szCs w:val="16"/>
        </w:rPr>
      </w:pPr>
      <w:r>
        <w:rPr>
          <w:rFonts w:ascii="Times New Roman" w:hAnsi="Times New Roman" w:eastAsia="Songti SC"/>
          <w:sz w:val="20"/>
        </w:rPr>
        <w:t>[52] G. Gao, G. Yang, C. Zhang, Q. Bai, C. Li, L. Zhang, and D. Duan, "PSDD: A benchmark PolSAR dataset for CNN performance evaluation of ship detection," IEEE Aerosp. Electron. Syst. Mag., vol. 41, no. 4, pp. 36–54, Apr. 2026.</w:t>
      </w:r>
    </w:p>
    <w:p w14:paraId="3F444BA1">
      <w:pPr>
        <w:spacing w:before="0" w:after="30" w:line="240" w:lineRule="auto"/>
        <w:ind w:left="240" w:hanging="240"/>
        <w:rPr>
          <w:color w:val="222222"/>
          <w:sz w:val="16"/>
          <w:szCs w:val="16"/>
        </w:rPr>
      </w:pPr>
      <w:r>
        <w:rPr>
          <w:rFonts w:ascii="Times New Roman" w:hAnsi="Times New Roman" w:eastAsia="Songti SC"/>
          <w:sz w:val="20"/>
        </w:rPr>
        <w:t>[53] G. Jocher, J. Qiu, M. Liu, et al., "Ultralytics YOLO26: Unified real-time end-to-end vision models," arXiv:2606.03748, Jun. 2026. [Online]. Available: https://arxiv.org/abs/2606.03748</w:t>
      </w:r>
    </w:p>
    <w:p w14:paraId="6D8AFB5C">
      <w:pPr>
        <w:spacing w:before="0" w:after="30" w:line="240" w:lineRule="auto"/>
        <w:ind w:left="240" w:hanging="240"/>
        <w:rPr>
          <w:color w:val="222222"/>
          <w:sz w:val="16"/>
          <w:szCs w:val="16"/>
        </w:rPr>
      </w:pPr>
      <w:r>
        <w:rPr>
          <w:rFonts w:ascii="Times New Roman" w:hAnsi="Times New Roman" w:eastAsia="Songti SC"/>
          <w:sz w:val="20"/>
        </w:rPr>
        <w:t>[54] Z. Tian, C. Shen, H. Chen, and T. He, "FCOS: Fully convolutional one-stage object detection," in Proc. IEEE/CVF Int. Conf. Comput. Vis. (ICCV), Seoul, South Korea, 2019, pp. 9627–9636.</w:t>
      </w:r>
    </w:p>
    <w:p w14:paraId="19267820">
      <w:pPr>
        <w:spacing w:before="0" w:after="30" w:line="240" w:lineRule="auto"/>
        <w:ind w:left="240" w:hanging="240"/>
        <w:rPr>
          <w:color w:val="222222"/>
          <w:sz w:val="16"/>
          <w:szCs w:val="16"/>
        </w:rPr>
      </w:pPr>
      <w:r>
        <w:rPr>
          <w:rFonts w:ascii="Times New Roman" w:hAnsi="Times New Roman" w:eastAsia="Songti SC"/>
          <w:sz w:val="20"/>
        </w:rPr>
        <w:t>[55] T.-Y. Lin, P. Goyal, R. Girshick, K. He, and P. Dollár, "Focal loss for dense object detection," in Proc. IEEE Int. Conf. Comput. Vis. (ICCV), Venice, Italy, 2017, pp. 2980–2988.</w:t>
      </w:r>
    </w:p>
    <w:p w14:paraId="60BC2FBF">
      <w:pPr>
        <w:spacing w:before="0" w:after="30" w:line="240" w:lineRule="auto"/>
        <w:ind w:left="240" w:hanging="240"/>
        <w:rPr>
          <w:color w:val="222222"/>
          <w:sz w:val="16"/>
          <w:szCs w:val="16"/>
        </w:rPr>
      </w:pPr>
      <w:r>
        <w:rPr>
          <w:rFonts w:ascii="Times New Roman" w:hAnsi="Times New Roman" w:eastAsia="Songti SC"/>
          <w:sz w:val="20"/>
        </w:rPr>
        <w:t>[56] W. Liu et al., "SSD: Single shot multibox detector," in Proc. Eur. Conf. Comput. Vis. (ECCV), Amsterdam, The Netherlands, 2016, pp. 21–37.</w:t>
      </w:r>
    </w:p>
    <w:p w14:paraId="48C2BF0A">
      <w:pPr>
        <w:spacing w:before="0" w:after="30" w:line="240" w:lineRule="auto"/>
        <w:ind w:left="240" w:hanging="240"/>
        <w:rPr>
          <w:color w:val="222222"/>
          <w:sz w:val="16"/>
          <w:szCs w:val="16"/>
        </w:rPr>
      </w:pPr>
      <w:r>
        <w:rPr>
          <w:rFonts w:ascii="Times New Roman" w:hAnsi="Times New Roman" w:eastAsia="Songti SC"/>
          <w:sz w:val="20"/>
        </w:rPr>
        <w:t>[57] K. H. Kim, S. W. Hong, B. Roh, Y. Cheon, and M. Park, "Probabilistic anchor assignment for object detection," in Proc. Eur. Conf. Comput. Vis. (ECCV), Glasgow, UK, 2020, pp. 355–371.</w:t>
      </w:r>
    </w:p>
    <w:p w14:paraId="1EF5D951">
      <w:pPr>
        <w:spacing w:before="0" w:after="30" w:line="240" w:lineRule="auto"/>
        <w:ind w:left="240" w:hanging="240"/>
        <w:rPr>
          <w:color w:val="222222"/>
          <w:sz w:val="16"/>
          <w:szCs w:val="16"/>
        </w:rPr>
      </w:pPr>
      <w:r>
        <w:rPr>
          <w:rFonts w:ascii="Times New Roman" w:hAnsi="Times New Roman" w:eastAsia="Songti SC"/>
          <w:sz w:val="20"/>
        </w:rPr>
        <w:t>[58] S. Ren, K. He, R. Girshick, and J. Sun, "Faster R-CNN: Towards real-time object detection with region proposal networks," IEEE Trans. Pattern Anal. Mach. Intell., vol. 39, no. 6, pp. 1137–1149, Jun. 2017.</w:t>
      </w:r>
    </w:p>
    <w:p w14:paraId="70AA3B7E">
      <w:pPr>
        <w:spacing w:before="0" w:after="30" w:line="240" w:lineRule="auto"/>
        <w:ind w:left="240" w:hanging="240"/>
        <w:rPr>
          <w:color w:val="222222"/>
          <w:sz w:val="16"/>
          <w:szCs w:val="16"/>
        </w:rPr>
      </w:pPr>
      <w:r>
        <w:rPr>
          <w:rFonts w:ascii="Times New Roman" w:hAnsi="Times New Roman" w:eastAsia="Songti SC"/>
          <w:sz w:val="20"/>
        </w:rPr>
        <w:t>[59] Z. Cai and N. Vasconcelos, "Cascade R-CNN: Delving into high quality object detection," in Proc. IEEE/CVF Conf. Comput. Vis. Pattern Recognit. (CVPR), Salt Lake City, UT, USA, 2018, pp. 6154–6162.</w:t>
      </w:r>
    </w:p>
    <w:p w14:paraId="33F149F1">
      <w:pPr>
        <w:spacing w:before="0" w:after="30" w:line="240" w:lineRule="auto"/>
        <w:ind w:left="240" w:hanging="240"/>
        <w:rPr>
          <w:color w:val="222222"/>
          <w:sz w:val="16"/>
          <w:szCs w:val="16"/>
        </w:rPr>
      </w:pPr>
      <w:r>
        <w:rPr>
          <w:rFonts w:ascii="Times New Roman" w:hAnsi="Times New Roman" w:eastAsia="Songti SC"/>
          <w:sz w:val="20"/>
        </w:rPr>
        <w:t>[60] C. Zhang et al., "A novel full-polarization SAR image ship detector based on scattering mechanisms and wave polarization anisotropy," ISPRS J. Photogramm. Remote Sens., vol. 190, pp. 129–143, Aug. 2022.</w:t>
      </w:r>
    </w:p>
    <w:p w14:paraId="01860D6E">
      <w:pPr>
        <w:spacing w:before="0" w:after="30" w:line="240" w:lineRule="auto"/>
        <w:ind w:left="240" w:hanging="240"/>
        <w:rPr>
          <w:color w:val="222222"/>
          <w:sz w:val="16"/>
          <w:szCs w:val="16"/>
        </w:rPr>
      </w:pPr>
      <w:r>
        <w:rPr>
          <w:rFonts w:ascii="Times New Roman" w:hAnsi="Times New Roman" w:eastAsia="Songti SC"/>
          <w:sz w:val="20"/>
        </w:rPr>
        <w:t>[61] J. Zhang et al., "Toward interpretable PolSAR image classification: Polarimetric scattering mechanism informed concept bottleneck and Kolmogorov–Arnold network," IEEE Trans. Geosci. Remote Sens., vol. 64, 2026, doi: 10.1109/TGRS.2026.3652576.</w:t>
      </w:r>
    </w:p>
    <w:p>
      <w:r>
        <w:rPr>
          <w:rFonts w:ascii="Times New Roman" w:hAnsi="Times New Roman" w:eastAsia="Songti SC"/>
          <w:sz w:val="20"/>
        </w:rPr>
        <w:t>[62] K. Deb, A. Pratap, S. Agarwal, and T. Meyarivan, "A fast and elitist multiobjective genetic algorithm: NSGA-II," IEEE Trans. Evol. Comput., vol. 6, no. 2, pp. 182–197, Apr. 2002.</w:t>
      </w:r>
    </w:p>
    <w:p>
      <w:r>
        <w:rPr>
          <w:rFonts w:ascii="Times New Roman" w:hAnsi="Times New Roman" w:eastAsia="Songti SC"/>
          <w:sz w:val="20"/>
        </w:rPr>
        <w:t>[63] G. Jocher, A. Chaurasia, and J. Qiu, "Ultralytics YOLOv8," 2023. [Online]. Available: https://github.com/ultralytics/ultralytics</w:t>
      </w: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Perpetua"/>
    <w:panose1 w:val="00000000000000000000"/>
    <w:charset w:val="00"/>
    <w:family w:val="auto"/>
    <w:pitch w:val="default"/>
    <w:sig w:usb0="00000000" w:usb1="00000000" w:usb2="00000000" w:usb3="00000000" w:csb0="000001FB"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B7BB">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12D9CFD1">
      <w:pPr>
        <w:jc w:val="both"/>
        <w:rPr>
          <w:sz w:val="16"/>
          <w:szCs w:val="16"/>
        </w:rPr>
      </w:pPr>
      <w:r>
        <w:rPr>
          <w:sz w:val="16"/>
          <w:szCs w:val="16"/>
        </w:rPr>
        <w:t>This work was supported by the Hunan Provincial College Students' Innovation and Entrepreneurship Training Program under Grant No. S202690002228. (Corresponding author: Sinong Quan.)</w:t>
      </w:r>
    </w:p>
    <w:p w14:paraId="3DCEE655">
      <w:pPr>
        <w:jc w:val="both"/>
        <w:rPr>
          <w:sz w:val="16"/>
          <w:szCs w:val="16"/>
        </w:rPr>
      </w:pPr>
      <w:r>
        <w:rPr>
          <w:sz w:val="16"/>
          <w:szCs w:val="16"/>
        </w:rPr>
        <w:t>The authors are with the National University of Defense Technology, Changsha, China (e-mail: liuhaomiao@nudt.edu.cn; quansinong13@nudt.edu.cn; cai_zhihao23@nudt.edu.cn).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0BAAB">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604766"/>
    <w:multiLevelType w:val="multilevel"/>
    <w:tmpl w:val="44604766"/>
    <w:lvl w:ilvl="0" w:tentative="0">
      <w:start w:val="1"/>
      <w:numFmt w:val="decimal"/>
      <w:pStyle w:val="35"/>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characterSpacingControl w:val="doNotCompress"/>
  <w:footnotePr>
    <w:pos w:val="pageBottom"/>
    <w:footnote w:id="2"/>
    <w:footnote w:id="3"/>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B4ABE"/>
    <w:rsid w:val="000C21BE"/>
    <w:rsid w:val="000D4F4C"/>
    <w:rsid w:val="000F2C11"/>
    <w:rsid w:val="000F400B"/>
    <w:rsid w:val="00114406"/>
    <w:rsid w:val="0011590C"/>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12E09"/>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4124D"/>
    <w:rsid w:val="00474613"/>
    <w:rsid w:val="0048247F"/>
    <w:rsid w:val="004A4B26"/>
    <w:rsid w:val="004B29E3"/>
    <w:rsid w:val="004C0A1B"/>
    <w:rsid w:val="004C0A56"/>
    <w:rsid w:val="004C1E98"/>
    <w:rsid w:val="004C2573"/>
    <w:rsid w:val="004D0997"/>
    <w:rsid w:val="00515318"/>
    <w:rsid w:val="005179F2"/>
    <w:rsid w:val="00533E1B"/>
    <w:rsid w:val="00550D56"/>
    <w:rsid w:val="005632D5"/>
    <w:rsid w:val="0056364D"/>
    <w:rsid w:val="0059348A"/>
    <w:rsid w:val="005A170E"/>
    <w:rsid w:val="005A2567"/>
    <w:rsid w:val="005B43C2"/>
    <w:rsid w:val="005C18AE"/>
    <w:rsid w:val="005C68BC"/>
    <w:rsid w:val="005D7000"/>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85B5D"/>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BE48C9"/>
    <w:rsid w:val="00C04F49"/>
    <w:rsid w:val="00C16047"/>
    <w:rsid w:val="00C25825"/>
    <w:rsid w:val="00C44C73"/>
    <w:rsid w:val="00C52F3D"/>
    <w:rsid w:val="00C54B70"/>
    <w:rsid w:val="00C64D24"/>
    <w:rsid w:val="00C72820"/>
    <w:rsid w:val="00C7592D"/>
    <w:rsid w:val="00C821C0"/>
    <w:rsid w:val="00C9162C"/>
    <w:rsid w:val="00CB5CB4"/>
    <w:rsid w:val="00CC21A8"/>
    <w:rsid w:val="00CD54DC"/>
    <w:rsid w:val="00CF066F"/>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7D48"/>
    <w:rsid w:val="00F22A05"/>
    <w:rsid w:val="00F33F99"/>
    <w:rsid w:val="00F63565"/>
    <w:rsid w:val="00F67007"/>
    <w:rsid w:val="00FA6C74"/>
    <w:rsid w:val="00FB41DF"/>
    <w:rsid w:val="00FD69D2"/>
    <w:rsid w:val="00FF4CDD"/>
    <w:rsid w:val="0183786B"/>
    <w:rsid w:val="02211096"/>
    <w:rsid w:val="02D43D06"/>
    <w:rsid w:val="033E7F43"/>
    <w:rsid w:val="03460B2F"/>
    <w:rsid w:val="05C8199F"/>
    <w:rsid w:val="067E4035"/>
    <w:rsid w:val="072163AA"/>
    <w:rsid w:val="072E54CD"/>
    <w:rsid w:val="07CD09CD"/>
    <w:rsid w:val="08C17544"/>
    <w:rsid w:val="08D01FFA"/>
    <w:rsid w:val="08EE2552"/>
    <w:rsid w:val="08FB0246"/>
    <w:rsid w:val="094E524A"/>
    <w:rsid w:val="099154BF"/>
    <w:rsid w:val="0AA7409F"/>
    <w:rsid w:val="0AD656DD"/>
    <w:rsid w:val="0AE344F5"/>
    <w:rsid w:val="0B286CB7"/>
    <w:rsid w:val="0B473F52"/>
    <w:rsid w:val="0DBA3094"/>
    <w:rsid w:val="0DE1042A"/>
    <w:rsid w:val="0EB126C0"/>
    <w:rsid w:val="0EB85295"/>
    <w:rsid w:val="0F3749A6"/>
    <w:rsid w:val="12B07263"/>
    <w:rsid w:val="13B6453C"/>
    <w:rsid w:val="13C40F5C"/>
    <w:rsid w:val="144437C9"/>
    <w:rsid w:val="14446366"/>
    <w:rsid w:val="144639AC"/>
    <w:rsid w:val="14C74B3E"/>
    <w:rsid w:val="14D17C89"/>
    <w:rsid w:val="14EF662E"/>
    <w:rsid w:val="16357280"/>
    <w:rsid w:val="16640498"/>
    <w:rsid w:val="166A2A32"/>
    <w:rsid w:val="16D93E04"/>
    <w:rsid w:val="17B81090"/>
    <w:rsid w:val="17D10471"/>
    <w:rsid w:val="17D25946"/>
    <w:rsid w:val="181E1F1C"/>
    <w:rsid w:val="183F1420"/>
    <w:rsid w:val="187E2872"/>
    <w:rsid w:val="19076C38"/>
    <w:rsid w:val="1A1A66EC"/>
    <w:rsid w:val="1B5C135E"/>
    <w:rsid w:val="1BA621CD"/>
    <w:rsid w:val="1C147A05"/>
    <w:rsid w:val="1C3B3E4C"/>
    <w:rsid w:val="1E6D2D15"/>
    <w:rsid w:val="1E942B2F"/>
    <w:rsid w:val="202D008D"/>
    <w:rsid w:val="20BA4148"/>
    <w:rsid w:val="21103C78"/>
    <w:rsid w:val="212C5BFF"/>
    <w:rsid w:val="21505D92"/>
    <w:rsid w:val="218B35BD"/>
    <w:rsid w:val="22AF3FF6"/>
    <w:rsid w:val="239B0D83"/>
    <w:rsid w:val="241A24D3"/>
    <w:rsid w:val="243C1E54"/>
    <w:rsid w:val="246F546B"/>
    <w:rsid w:val="252570BD"/>
    <w:rsid w:val="253F63C4"/>
    <w:rsid w:val="258A1AC5"/>
    <w:rsid w:val="26492BA6"/>
    <w:rsid w:val="26544042"/>
    <w:rsid w:val="26773DC1"/>
    <w:rsid w:val="27926444"/>
    <w:rsid w:val="280F31B9"/>
    <w:rsid w:val="2819659A"/>
    <w:rsid w:val="2827071F"/>
    <w:rsid w:val="28567AF5"/>
    <w:rsid w:val="291B0543"/>
    <w:rsid w:val="29274E82"/>
    <w:rsid w:val="29F34F8D"/>
    <w:rsid w:val="2B487420"/>
    <w:rsid w:val="2BFB07FD"/>
    <w:rsid w:val="2C167196"/>
    <w:rsid w:val="2CA54DD0"/>
    <w:rsid w:val="2D17348E"/>
    <w:rsid w:val="2D4B111B"/>
    <w:rsid w:val="2D994199"/>
    <w:rsid w:val="2E090654"/>
    <w:rsid w:val="2ECA100B"/>
    <w:rsid w:val="2EF112BE"/>
    <w:rsid w:val="2F872C69"/>
    <w:rsid w:val="318019D6"/>
    <w:rsid w:val="319C2D95"/>
    <w:rsid w:val="31F673FB"/>
    <w:rsid w:val="32BC4C55"/>
    <w:rsid w:val="32D4149D"/>
    <w:rsid w:val="334E28BB"/>
    <w:rsid w:val="33652DC2"/>
    <w:rsid w:val="342E3526"/>
    <w:rsid w:val="35B16D67"/>
    <w:rsid w:val="361A4A7B"/>
    <w:rsid w:val="363807E1"/>
    <w:rsid w:val="36982E13"/>
    <w:rsid w:val="373009AF"/>
    <w:rsid w:val="378E5399"/>
    <w:rsid w:val="37EC1976"/>
    <w:rsid w:val="38E64769"/>
    <w:rsid w:val="3B5F0C53"/>
    <w:rsid w:val="3DEB7B3A"/>
    <w:rsid w:val="3E5319BB"/>
    <w:rsid w:val="3EBA30B8"/>
    <w:rsid w:val="3F5D0E5A"/>
    <w:rsid w:val="3FDA34BE"/>
    <w:rsid w:val="40A315E2"/>
    <w:rsid w:val="40A96B37"/>
    <w:rsid w:val="414B4683"/>
    <w:rsid w:val="41902B7C"/>
    <w:rsid w:val="41931937"/>
    <w:rsid w:val="41B564D4"/>
    <w:rsid w:val="43686B13"/>
    <w:rsid w:val="43BD6E5F"/>
    <w:rsid w:val="442E1F3A"/>
    <w:rsid w:val="44F6020F"/>
    <w:rsid w:val="45365069"/>
    <w:rsid w:val="45743D2A"/>
    <w:rsid w:val="462969BD"/>
    <w:rsid w:val="468A6136"/>
    <w:rsid w:val="46CF2FF7"/>
    <w:rsid w:val="46FA16BE"/>
    <w:rsid w:val="47FB61A8"/>
    <w:rsid w:val="481E3C44"/>
    <w:rsid w:val="48AB0A12"/>
    <w:rsid w:val="49003B22"/>
    <w:rsid w:val="4B907B7E"/>
    <w:rsid w:val="4C802552"/>
    <w:rsid w:val="4D2E0676"/>
    <w:rsid w:val="4DA76053"/>
    <w:rsid w:val="4DF572C0"/>
    <w:rsid w:val="4DFA5F39"/>
    <w:rsid w:val="4E166F2A"/>
    <w:rsid w:val="4F641862"/>
    <w:rsid w:val="50190109"/>
    <w:rsid w:val="501F3D3B"/>
    <w:rsid w:val="508A1E77"/>
    <w:rsid w:val="509225A6"/>
    <w:rsid w:val="50D756CC"/>
    <w:rsid w:val="51D93F1B"/>
    <w:rsid w:val="51DA42A8"/>
    <w:rsid w:val="529A74B5"/>
    <w:rsid w:val="536A5B04"/>
    <w:rsid w:val="53BD0A24"/>
    <w:rsid w:val="54336B2E"/>
    <w:rsid w:val="55734229"/>
    <w:rsid w:val="558D7B76"/>
    <w:rsid w:val="562B5342"/>
    <w:rsid w:val="563108F5"/>
    <w:rsid w:val="571B36E6"/>
    <w:rsid w:val="57F53E48"/>
    <w:rsid w:val="5808656D"/>
    <w:rsid w:val="5939268C"/>
    <w:rsid w:val="59B00A8C"/>
    <w:rsid w:val="5A082D94"/>
    <w:rsid w:val="5A876E82"/>
    <w:rsid w:val="5C0E34F4"/>
    <w:rsid w:val="5CA57C32"/>
    <w:rsid w:val="5CCD7CBB"/>
    <w:rsid w:val="5CE172C2"/>
    <w:rsid w:val="5CE3235C"/>
    <w:rsid w:val="5CFA0C68"/>
    <w:rsid w:val="5D406CA0"/>
    <w:rsid w:val="5D6E48CE"/>
    <w:rsid w:val="5E480A41"/>
    <w:rsid w:val="5E6B076B"/>
    <w:rsid w:val="5EEA0D04"/>
    <w:rsid w:val="5FD42C1B"/>
    <w:rsid w:val="60214855"/>
    <w:rsid w:val="609A0A1F"/>
    <w:rsid w:val="614F1C35"/>
    <w:rsid w:val="624E5AF2"/>
    <w:rsid w:val="62DA30C1"/>
    <w:rsid w:val="62EA71AC"/>
    <w:rsid w:val="639C2195"/>
    <w:rsid w:val="641367CF"/>
    <w:rsid w:val="649F229F"/>
    <w:rsid w:val="64BE2B07"/>
    <w:rsid w:val="65645E70"/>
    <w:rsid w:val="65CD7C4D"/>
    <w:rsid w:val="65D91D7C"/>
    <w:rsid w:val="661332CA"/>
    <w:rsid w:val="66B27E30"/>
    <w:rsid w:val="670D36A9"/>
    <w:rsid w:val="673152EA"/>
    <w:rsid w:val="68602AED"/>
    <w:rsid w:val="693062B9"/>
    <w:rsid w:val="6A446655"/>
    <w:rsid w:val="6B16088B"/>
    <w:rsid w:val="6B600457"/>
    <w:rsid w:val="6C9E3C95"/>
    <w:rsid w:val="6CB06051"/>
    <w:rsid w:val="6D1D2C00"/>
    <w:rsid w:val="6D393536"/>
    <w:rsid w:val="6DCA139F"/>
    <w:rsid w:val="6E625D89"/>
    <w:rsid w:val="6F047A8C"/>
    <w:rsid w:val="6F525C86"/>
    <w:rsid w:val="729A11F3"/>
    <w:rsid w:val="7353363F"/>
    <w:rsid w:val="73B4624B"/>
    <w:rsid w:val="75C01280"/>
    <w:rsid w:val="75FC5579"/>
    <w:rsid w:val="76A35BDB"/>
    <w:rsid w:val="77623EDF"/>
    <w:rsid w:val="77BF424C"/>
    <w:rsid w:val="78160310"/>
    <w:rsid w:val="78B226BD"/>
    <w:rsid w:val="78CA12F1"/>
    <w:rsid w:val="79A04D0E"/>
    <w:rsid w:val="79B303D3"/>
    <w:rsid w:val="79BC3045"/>
    <w:rsid w:val="79DF2984"/>
    <w:rsid w:val="7BA53B14"/>
    <w:rsid w:val="7BBE4F53"/>
    <w:rsid w:val="7C363671"/>
    <w:rsid w:val="7CE9270B"/>
    <w:rsid w:val="7CF6488C"/>
    <w:rsid w:val="7D460078"/>
    <w:rsid w:val="7E68119A"/>
    <w:rsid w:val="7F5C2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50"/>
    <w:autoRedefine/>
    <w:qFormat/>
    <w:uiPriority w:val="9"/>
    <w:pPr>
      <w:keepNext/>
      <w:spacing w:before="240" w:after="80"/>
      <w:jc w:val="center"/>
      <w:outlineLvl w:val="0"/>
    </w:pPr>
    <w:rPr>
      <w:smallCaps/>
      <w:kern w:val="28"/>
    </w:rPr>
  </w:style>
  <w:style w:type="paragraph" w:styleId="3">
    <w:name w:val="heading 2"/>
    <w:basedOn w:val="1"/>
    <w:next w:val="1"/>
    <w:link w:val="55"/>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rPr>
      <w:rFonts w:ascii="Tahoma" w:hAnsi="Tahoma" w:cs="Tahoma"/>
    </w:rPr>
  </w:style>
  <w:style w:type="paragraph" w:styleId="12">
    <w:name w:val="annotation text"/>
    <w:basedOn w:val="1"/>
    <w:link w:val="65"/>
    <w:semiHidden/>
    <w:unhideWhenUsed/>
    <w:qFormat/>
    <w:uiPriority w:val="99"/>
  </w:style>
  <w:style w:type="paragraph" w:styleId="13">
    <w:name w:val="Body Text"/>
    <w:basedOn w:val="1"/>
    <w:qFormat/>
    <w:uiPriority w:val="0"/>
    <w:pPr>
      <w:tabs>
        <w:tab w:val="left" w:pos="288"/>
      </w:tabs>
      <w:spacing w:after="120" w:line="228" w:lineRule="auto"/>
      <w:ind w:firstLine="288"/>
      <w:jc w:val="both"/>
    </w:pPr>
    <w:rPr>
      <w:spacing w:val="-1"/>
      <w:lang w:val="zh-CN" w:eastAsia="zh-CN"/>
    </w:rPr>
  </w:style>
  <w:style w:type="paragraph" w:styleId="14">
    <w:name w:val="Body Text Indent"/>
    <w:basedOn w:val="1"/>
    <w:link w:val="60"/>
    <w:qFormat/>
    <w:uiPriority w:val="0"/>
    <w:pPr>
      <w:ind w:left="630" w:hanging="630"/>
    </w:pPr>
    <w:rPr>
      <w:szCs w:val="24"/>
    </w:rPr>
  </w:style>
  <w:style w:type="paragraph" w:styleId="15">
    <w:name w:val="Balloon Text"/>
    <w:basedOn w:val="1"/>
    <w:link w:val="44"/>
    <w:qFormat/>
    <w:uiPriority w:val="0"/>
    <w:rPr>
      <w:rFonts w:ascii="Tahoma" w:hAnsi="Tahoma" w:cs="Tahoma"/>
      <w:sz w:val="16"/>
      <w:szCs w:val="16"/>
    </w:rPr>
  </w:style>
  <w:style w:type="paragraph" w:styleId="16">
    <w:name w:val="footer"/>
    <w:basedOn w:val="1"/>
    <w:link w:val="58"/>
    <w:qFormat/>
    <w:uiPriority w:val="99"/>
    <w:pPr>
      <w:tabs>
        <w:tab w:val="center" w:pos="4320"/>
        <w:tab w:val="right" w:pos="8640"/>
      </w:tabs>
    </w:pPr>
  </w:style>
  <w:style w:type="paragraph" w:styleId="17">
    <w:name w:val="header"/>
    <w:basedOn w:val="1"/>
    <w:qFormat/>
    <w:uiPriority w:val="0"/>
    <w:pPr>
      <w:tabs>
        <w:tab w:val="center" w:pos="4320"/>
        <w:tab w:val="right" w:pos="8640"/>
      </w:tabs>
    </w:p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footnote text"/>
    <w:basedOn w:val="1"/>
    <w:link w:val="59"/>
    <w:semiHidden/>
    <w:qFormat/>
    <w:uiPriority w:val="0"/>
    <w:pPr>
      <w:ind w:firstLine="202"/>
      <w:jc w:val="both"/>
    </w:pPr>
    <w:rPr>
      <w:sz w:val="16"/>
      <w:szCs w:val="16"/>
    </w:rPr>
  </w:style>
  <w:style w:type="paragraph" w:styleId="20">
    <w:name w:val="Normal (Web)"/>
    <w:basedOn w:val="1"/>
    <w:semiHidden/>
    <w:unhideWhenUsed/>
    <w:qFormat/>
    <w:uiPriority w:val="99"/>
    <w:pPr>
      <w:spacing w:before="100" w:beforeAutospacing="1" w:after="100" w:afterAutospacing="1"/>
    </w:pPr>
    <w:rPr>
      <w:sz w:val="24"/>
      <w:szCs w:val="24"/>
    </w:rPr>
  </w:style>
  <w:style w:type="paragraph" w:styleId="21">
    <w:name w:val="Title"/>
    <w:basedOn w:val="1"/>
    <w:next w:val="1"/>
    <w:qFormat/>
    <w:uiPriority w:val="10"/>
    <w:pPr>
      <w:framePr w:w="9360" w:hSpace="187" w:vSpace="187" w:wrap="notBeside" w:vAnchor="text" w:hAnchor="page" w:xAlign="center" w:y="1"/>
      <w:jc w:val="center"/>
    </w:pPr>
    <w:rPr>
      <w:kern w:val="28"/>
      <w:sz w:val="48"/>
      <w:szCs w:val="48"/>
    </w:rPr>
  </w:style>
  <w:style w:type="paragraph" w:styleId="22">
    <w:name w:val="annotation subject"/>
    <w:basedOn w:val="12"/>
    <w:next w:val="12"/>
    <w:link w:val="66"/>
    <w:semiHidden/>
    <w:unhideWhenUsed/>
    <w:qFormat/>
    <w:uiPriority w:val="99"/>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qFormat/>
    <w:uiPriority w:val="0"/>
    <w:rPr>
      <w:color w:val="800080"/>
      <w:u w:val="single"/>
    </w:rPr>
  </w:style>
  <w:style w:type="character" w:styleId="28">
    <w:name w:val="Emphasis"/>
    <w:basedOn w:val="25"/>
    <w:qFormat/>
    <w:uiPriority w:val="20"/>
    <w:rPr>
      <w:i/>
      <w:iCs/>
    </w:rPr>
  </w:style>
  <w:style w:type="character" w:styleId="29">
    <w:name w:val="Hyperlink"/>
    <w:qFormat/>
    <w:uiPriority w:val="0"/>
    <w:rPr>
      <w:color w:val="0000FF"/>
      <w:u w:val="single"/>
    </w:rPr>
  </w:style>
  <w:style w:type="character" w:styleId="30">
    <w:name w:val="annotation reference"/>
    <w:basedOn w:val="25"/>
    <w:semiHidden/>
    <w:unhideWhenUsed/>
    <w:qFormat/>
    <w:uiPriority w:val="99"/>
    <w:rPr>
      <w:sz w:val="16"/>
      <w:szCs w:val="16"/>
    </w:rPr>
  </w:style>
  <w:style w:type="character" w:styleId="31">
    <w:name w:val="footnote reference"/>
    <w:semiHidden/>
    <w:qFormat/>
    <w:uiPriority w:val="0"/>
    <w:rPr>
      <w:vertAlign w:val="superscript"/>
    </w:rPr>
  </w:style>
  <w:style w:type="paragraph" w:customStyle="1" w:styleId="32">
    <w:name w:val="Abstract"/>
    <w:basedOn w:val="1"/>
    <w:next w:val="1"/>
    <w:qFormat/>
    <w:uiPriority w:val="0"/>
    <w:pPr>
      <w:spacing w:before="20"/>
      <w:ind w:firstLine="202"/>
      <w:jc w:val="both"/>
    </w:pPr>
    <w:rPr>
      <w:b/>
      <w:bCs/>
      <w:sz w:val="18"/>
      <w:szCs w:val="18"/>
    </w:rPr>
  </w:style>
  <w:style w:type="paragraph" w:customStyle="1" w:styleId="33">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4">
    <w:name w:val="MemberType"/>
    <w:qFormat/>
    <w:uiPriority w:val="0"/>
    <w:rPr>
      <w:rFonts w:ascii="Times New Roman" w:hAnsi="Times New Roman" w:cs="Times New Roman"/>
      <w:i/>
      <w:iCs/>
      <w:sz w:val="22"/>
      <w:szCs w:val="22"/>
    </w:rPr>
  </w:style>
  <w:style w:type="paragraph" w:customStyle="1" w:styleId="35">
    <w:name w:val="References"/>
    <w:basedOn w:val="1"/>
    <w:qFormat/>
    <w:uiPriority w:val="0"/>
    <w:pPr>
      <w:numPr>
        <w:ilvl w:val="0"/>
        <w:numId w:val="2"/>
      </w:numPr>
      <w:jc w:val="both"/>
    </w:pPr>
    <w:rPr>
      <w:sz w:val="16"/>
      <w:szCs w:val="16"/>
    </w:rPr>
  </w:style>
  <w:style w:type="paragraph" w:customStyle="1" w:styleId="36">
    <w:name w:val="IndexTerms"/>
    <w:basedOn w:val="1"/>
    <w:next w:val="1"/>
    <w:qFormat/>
    <w:uiPriority w:val="0"/>
    <w:pPr>
      <w:ind w:firstLine="202"/>
      <w:jc w:val="both"/>
    </w:pPr>
    <w:rPr>
      <w:b/>
      <w:bCs/>
      <w:sz w:val="18"/>
      <w:szCs w:val="18"/>
    </w:rPr>
  </w:style>
  <w:style w:type="paragraph" w:customStyle="1" w:styleId="37">
    <w:name w:val="Text"/>
    <w:basedOn w:val="1"/>
    <w:link w:val="68"/>
    <w:qFormat/>
    <w:uiPriority w:val="0"/>
    <w:pPr>
      <w:widowControl w:val="0"/>
      <w:spacing w:line="252" w:lineRule="auto"/>
      <w:ind w:firstLine="202"/>
      <w:jc w:val="both"/>
    </w:pPr>
  </w:style>
  <w:style w:type="paragraph" w:customStyle="1" w:styleId="38">
    <w:name w:val="Figure Caption"/>
    <w:basedOn w:val="1"/>
    <w:qFormat/>
    <w:uiPriority w:val="0"/>
    <w:pPr>
      <w:jc w:val="both"/>
    </w:pPr>
    <w:rPr>
      <w:sz w:val="16"/>
      <w:szCs w:val="16"/>
    </w:rPr>
  </w:style>
  <w:style w:type="paragraph" w:customStyle="1" w:styleId="39">
    <w:name w:val="Table Title"/>
    <w:basedOn w:val="1"/>
    <w:qFormat/>
    <w:uiPriority w:val="0"/>
    <w:pPr>
      <w:jc w:val="center"/>
    </w:pPr>
    <w:rPr>
      <w:smallCaps/>
      <w:sz w:val="16"/>
      <w:szCs w:val="16"/>
    </w:rPr>
  </w:style>
  <w:style w:type="paragraph" w:customStyle="1" w:styleId="40">
    <w:name w:val="Reference Head"/>
    <w:basedOn w:val="2"/>
    <w:link w:val="51"/>
    <w:qFormat/>
    <w:uiPriority w:val="0"/>
  </w:style>
  <w:style w:type="paragraph" w:customStyle="1" w:styleId="41">
    <w:name w:val="Equation"/>
    <w:basedOn w:val="1"/>
    <w:next w:val="1"/>
    <w:qFormat/>
    <w:uiPriority w:val="0"/>
    <w:pPr>
      <w:widowControl w:val="0"/>
      <w:tabs>
        <w:tab w:val="right" w:pos="5040"/>
      </w:tabs>
      <w:spacing w:line="252" w:lineRule="auto"/>
      <w:jc w:val="both"/>
    </w:pPr>
  </w:style>
  <w:style w:type="paragraph" w:customStyle="1" w:styleId="42">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43">
    <w:name w:val="A5"/>
    <w:qFormat/>
    <w:uiPriority w:val="0"/>
    <w:rPr>
      <w:color w:val="00529F"/>
      <w:sz w:val="20"/>
      <w:szCs w:val="20"/>
    </w:rPr>
  </w:style>
  <w:style w:type="character" w:customStyle="1" w:styleId="44">
    <w:name w:val="批注框文本 字符"/>
    <w:link w:val="15"/>
    <w:qFormat/>
    <w:uiPriority w:val="0"/>
    <w:rPr>
      <w:rFonts w:ascii="Tahoma" w:hAnsi="Tahoma" w:cs="Tahoma"/>
      <w:sz w:val="16"/>
      <w:szCs w:val="16"/>
    </w:rPr>
  </w:style>
  <w:style w:type="character" w:customStyle="1" w:styleId="45">
    <w:name w:val="Medium Grid 11"/>
    <w:semiHidden/>
    <w:qFormat/>
    <w:uiPriority w:val="99"/>
    <w:rPr>
      <w:color w:val="808080"/>
    </w:rPr>
  </w:style>
  <w:style w:type="paragraph" w:customStyle="1" w:styleId="46">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7">
    <w:name w:val="Body Text1"/>
    <w:qFormat/>
    <w:uiPriority w:val="99"/>
    <w:rPr>
      <w:rFonts w:ascii="Verdana" w:hAnsi="Verdana" w:cs="Verdana"/>
      <w:color w:val="000000"/>
      <w:sz w:val="22"/>
      <w:szCs w:val="22"/>
    </w:rPr>
  </w:style>
  <w:style w:type="character" w:customStyle="1" w:styleId="48">
    <w:name w:val="body type"/>
    <w:qFormat/>
    <w:uiPriority w:val="99"/>
    <w:rPr>
      <w:rFonts w:ascii="Formata-Regular" w:hAnsi="Formata-Regular" w:cs="Formata-Regular"/>
      <w:color w:val="000000"/>
      <w:sz w:val="22"/>
      <w:szCs w:val="22"/>
    </w:rPr>
  </w:style>
  <w:style w:type="paragraph" w:customStyle="1" w:styleId="49">
    <w:name w:val="Style1"/>
    <w:basedOn w:val="40"/>
    <w:link w:val="52"/>
    <w:qFormat/>
    <w:uiPriority w:val="0"/>
  </w:style>
  <w:style w:type="character" w:customStyle="1" w:styleId="50">
    <w:name w:val="标题 1 字符"/>
    <w:link w:val="2"/>
    <w:qFormat/>
    <w:uiPriority w:val="9"/>
    <w:rPr>
      <w:smallCaps/>
      <w:kern w:val="28"/>
    </w:rPr>
  </w:style>
  <w:style w:type="character" w:customStyle="1" w:styleId="51">
    <w:name w:val="Reference Head Char"/>
    <w:link w:val="40"/>
    <w:qFormat/>
    <w:uiPriority w:val="0"/>
    <w:rPr>
      <w:smallCaps/>
      <w:kern w:val="28"/>
    </w:rPr>
  </w:style>
  <w:style w:type="character" w:customStyle="1" w:styleId="52">
    <w:name w:val="Style1 Char"/>
    <w:link w:val="49"/>
    <w:qFormat/>
    <w:uiPriority w:val="0"/>
    <w:rPr>
      <w:smallCaps/>
      <w:kern w:val="28"/>
    </w:rPr>
  </w:style>
  <w:style w:type="paragraph" w:customStyle="1" w:styleId="53">
    <w:name w:val="Colorful Shading - Accent 11"/>
    <w:hidden/>
    <w:semiHidden/>
    <w:qFormat/>
    <w:uiPriority w:val="99"/>
    <w:rPr>
      <w:rFonts w:ascii="Times New Roman" w:hAnsi="Times New Roman" w:eastAsia="Times New Roman" w:cs="Times New Roman"/>
      <w:lang w:val="en-US" w:eastAsia="en-US" w:bidi="ar-SA"/>
    </w:rPr>
  </w:style>
  <w:style w:type="character" w:customStyle="1" w:styleId="54">
    <w:name w:val="Body Text2"/>
    <w:qFormat/>
    <w:uiPriority w:val="99"/>
    <w:rPr>
      <w:rFonts w:ascii="Verdana" w:hAnsi="Verdana" w:cs="Verdana"/>
      <w:color w:val="000000"/>
      <w:sz w:val="22"/>
      <w:szCs w:val="22"/>
    </w:rPr>
  </w:style>
  <w:style w:type="character" w:customStyle="1" w:styleId="55">
    <w:name w:val="标题 2 字符"/>
    <w:link w:val="3"/>
    <w:qFormat/>
    <w:uiPriority w:val="9"/>
    <w:rPr>
      <w:i/>
      <w:iCs/>
    </w:rPr>
  </w:style>
  <w:style w:type="paragraph" w:customStyle="1" w:styleId="56">
    <w:name w:val="Text L-MAG"/>
    <w:basedOn w:val="1"/>
    <w:link w:val="57"/>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7">
    <w:name w:val="Text L-MAG Char"/>
    <w:link w:val="56"/>
    <w:qFormat/>
    <w:uiPriority w:val="0"/>
    <w:rPr>
      <w:rFonts w:ascii="Arial" w:hAnsi="Arial" w:eastAsia="MS Mincho"/>
      <w:sz w:val="18"/>
      <w:szCs w:val="22"/>
      <w:lang w:eastAsia="ja-JP"/>
    </w:rPr>
  </w:style>
  <w:style w:type="character" w:customStyle="1" w:styleId="58">
    <w:name w:val="页脚 字符"/>
    <w:basedOn w:val="25"/>
    <w:link w:val="16"/>
    <w:qFormat/>
    <w:uiPriority w:val="99"/>
  </w:style>
  <w:style w:type="character" w:customStyle="1" w:styleId="59">
    <w:name w:val="脚注文本 字符"/>
    <w:link w:val="19"/>
    <w:semiHidden/>
    <w:qFormat/>
    <w:uiPriority w:val="0"/>
    <w:rPr>
      <w:sz w:val="16"/>
      <w:szCs w:val="16"/>
    </w:rPr>
  </w:style>
  <w:style w:type="character" w:customStyle="1" w:styleId="60">
    <w:name w:val="正文文本缩进 字符"/>
    <w:link w:val="14"/>
    <w:qFormat/>
    <w:uiPriority w:val="0"/>
    <w:rPr>
      <w:szCs w:val="24"/>
    </w:rPr>
  </w:style>
  <w:style w:type="character" w:customStyle="1" w:styleId="61">
    <w:name w:val="m_5113501246024331607m_-6864882937387638336gmail-il"/>
    <w:basedOn w:val="25"/>
    <w:qFormat/>
    <w:uiPriority w:val="0"/>
  </w:style>
  <w:style w:type="paragraph" w:customStyle="1" w:styleId="62">
    <w:name w:val="Colorful List - Accent 11"/>
    <w:basedOn w:val="1"/>
    <w:qFormat/>
    <w:uiPriority w:val="34"/>
    <w:pPr>
      <w:ind w:left="720"/>
      <w:contextualSpacing/>
    </w:pPr>
  </w:style>
  <w:style w:type="character" w:customStyle="1" w:styleId="63">
    <w:name w:val="apple-converted-space"/>
    <w:basedOn w:val="25"/>
    <w:qFormat/>
    <w:uiPriority w:val="0"/>
  </w:style>
  <w:style w:type="character" w:customStyle="1" w:styleId="64">
    <w:name w:val="Unresolved Mention1"/>
    <w:basedOn w:val="25"/>
    <w:semiHidden/>
    <w:unhideWhenUsed/>
    <w:qFormat/>
    <w:uiPriority w:val="99"/>
    <w:rPr>
      <w:color w:val="605E5C"/>
      <w:shd w:val="clear" w:color="auto" w:fill="E1DFDD"/>
    </w:rPr>
  </w:style>
  <w:style w:type="character" w:customStyle="1" w:styleId="65">
    <w:name w:val="批注文字 字符"/>
    <w:basedOn w:val="25"/>
    <w:link w:val="12"/>
    <w:semiHidden/>
    <w:qFormat/>
    <w:uiPriority w:val="99"/>
  </w:style>
  <w:style w:type="character" w:customStyle="1" w:styleId="66">
    <w:name w:val="批注主题 字符"/>
    <w:basedOn w:val="65"/>
    <w:link w:val="22"/>
    <w:semiHidden/>
    <w:qFormat/>
    <w:uiPriority w:val="99"/>
    <w:rPr>
      <w:b/>
      <w:bCs/>
    </w:rPr>
  </w:style>
  <w:style w:type="paragraph" w:styleId="67">
    <w:name w:val="List Paragraph"/>
    <w:basedOn w:val="1"/>
    <w:qFormat/>
    <w:uiPriority w:val="34"/>
    <w:pPr>
      <w:ind w:left="720"/>
      <w:contextualSpacing/>
    </w:pPr>
  </w:style>
  <w:style w:type="character" w:customStyle="1" w:styleId="68">
    <w:name w:val="Text Char"/>
    <w:link w:val="37"/>
    <w:qFormat/>
    <w:uiPriority w:val="0"/>
  </w:style>
  <w:style w:type="paragraph" w:customStyle="1" w:styleId="69">
    <w:name w:val="PARA"/>
    <w:basedOn w:val="37"/>
    <w:link w:val="72"/>
    <w:qFormat/>
    <w:uiPriority w:val="0"/>
    <w:pPr>
      <w:ind w:firstLine="0"/>
    </w:pPr>
  </w:style>
  <w:style w:type="paragraph" w:customStyle="1" w:styleId="70">
    <w:name w:val="PARA_Indent"/>
    <w:basedOn w:val="37"/>
    <w:link w:val="71"/>
    <w:qFormat/>
    <w:uiPriority w:val="0"/>
    <w:pPr>
      <w:spacing w:line="240" w:lineRule="auto"/>
    </w:pPr>
  </w:style>
  <w:style w:type="character" w:customStyle="1" w:styleId="71">
    <w:name w:val="PARA_Indent Char"/>
    <w:link w:val="70"/>
    <w:qFormat/>
    <w:uiPriority w:val="0"/>
  </w:style>
  <w:style w:type="character" w:customStyle="1" w:styleId="72">
    <w:name w:val="PARA Char"/>
    <w:link w:val="69"/>
    <w:qFormat/>
    <w:uiPriority w:val="0"/>
  </w:style>
  <w:style w:type="paragraph" w:customStyle="1" w:styleId="73">
    <w:name w:val="NUDT正文"/>
    <w:basedOn w:val="1"/>
    <w:qFormat/>
    <w:uiPriority w:val="0"/>
    <w:pPr>
      <w:spacing w:line="300" w:lineRule="auto"/>
      <w:ind w:firstLine="200" w:firstLineChars="200"/>
    </w:pPr>
    <w:rPr>
      <w:sz w:val="24"/>
      <w:szCs w:val="24"/>
    </w:rPr>
  </w:style>
  <w:style w:type="paragraph" w:customStyle="1" w:styleId="74">
    <w:name w:val="NUDT公式编号"/>
    <w:next w:val="73"/>
    <w:qFormat/>
    <w:uiPriority w:val="0"/>
    <w:pPr>
      <w:widowControl w:val="0"/>
      <w:tabs>
        <w:tab w:val="center" w:pos="4200"/>
        <w:tab w:val="right" w:pos="8400"/>
      </w:tabs>
      <w:adjustRightInd w:val="0"/>
      <w:spacing w:line="300" w:lineRule="auto"/>
      <w:jc w:val="right"/>
      <w:textAlignment w:val="baseline"/>
    </w:pPr>
    <w:rPr>
      <w:rFonts w:ascii="Times New Roman" w:hAnsi="Times New Roman" w:eastAsia="宋体" w:cs="宋体"/>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image" Target="media/image82.jpeg"/><Relationship Id="rId95" Type="http://schemas.openxmlformats.org/officeDocument/2006/relationships/image" Target="media/image81.jpeg"/><Relationship Id="rId94" Type="http://schemas.openxmlformats.org/officeDocument/2006/relationships/image" Target="media/image80.jpeg"/><Relationship Id="rId93" Type="http://schemas.openxmlformats.org/officeDocument/2006/relationships/image" Target="media/image79.jpeg"/><Relationship Id="rId92" Type="http://schemas.openxmlformats.org/officeDocument/2006/relationships/image" Target="media/image78.jpeg"/><Relationship Id="rId91" Type="http://schemas.openxmlformats.org/officeDocument/2006/relationships/image" Target="media/image77.jpeg"/><Relationship Id="rId90" Type="http://schemas.openxmlformats.org/officeDocument/2006/relationships/image" Target="media/image76.jpeg"/><Relationship Id="rId9" Type="http://schemas.openxmlformats.org/officeDocument/2006/relationships/image" Target="media/image2.png"/><Relationship Id="rId89" Type="http://schemas.openxmlformats.org/officeDocument/2006/relationships/image" Target="media/image75.jpeg"/><Relationship Id="rId88" Type="http://schemas.openxmlformats.org/officeDocument/2006/relationships/image" Target="media/image74.jpeg"/><Relationship Id="rId87" Type="http://schemas.openxmlformats.org/officeDocument/2006/relationships/image" Target="media/image73.png"/><Relationship Id="rId86" Type="http://schemas.openxmlformats.org/officeDocument/2006/relationships/image" Target="media/image72.jpeg"/><Relationship Id="rId85" Type="http://schemas.openxmlformats.org/officeDocument/2006/relationships/image" Target="media/image71.jpeg"/><Relationship Id="rId84" Type="http://schemas.openxmlformats.org/officeDocument/2006/relationships/image" Target="media/image70.jpeg"/><Relationship Id="rId83" Type="http://schemas.openxmlformats.org/officeDocument/2006/relationships/image" Target="media/image69.jpeg"/><Relationship Id="rId82" Type="http://schemas.openxmlformats.org/officeDocument/2006/relationships/image" Target="media/image68.jpeg"/><Relationship Id="rId81" Type="http://schemas.openxmlformats.org/officeDocument/2006/relationships/image" Target="media/image67.jpeg"/><Relationship Id="rId80" Type="http://schemas.openxmlformats.org/officeDocument/2006/relationships/image" Target="media/image66.jpeg"/><Relationship Id="rId8" Type="http://schemas.openxmlformats.org/officeDocument/2006/relationships/image" Target="media/image1.png"/><Relationship Id="rId79" Type="http://schemas.openxmlformats.org/officeDocument/2006/relationships/image" Target="media/image65.jpeg"/><Relationship Id="rId78" Type="http://schemas.openxmlformats.org/officeDocument/2006/relationships/image" Target="media/image64.jpeg"/><Relationship Id="rId77" Type="http://schemas.openxmlformats.org/officeDocument/2006/relationships/image" Target="media/image63.jpeg"/><Relationship Id="rId76" Type="http://schemas.openxmlformats.org/officeDocument/2006/relationships/image" Target="media/image62.jpeg"/><Relationship Id="rId75" Type="http://schemas.openxmlformats.org/officeDocument/2006/relationships/image" Target="media/image61.jpeg"/><Relationship Id="rId74" Type="http://schemas.openxmlformats.org/officeDocument/2006/relationships/image" Target="media/image60.jpeg"/><Relationship Id="rId73" Type="http://schemas.openxmlformats.org/officeDocument/2006/relationships/image" Target="media/image59.jpeg"/><Relationship Id="rId72" Type="http://schemas.openxmlformats.org/officeDocument/2006/relationships/image" Target="media/image58.jpeg"/><Relationship Id="rId71" Type="http://schemas.openxmlformats.org/officeDocument/2006/relationships/image" Target="media/image57.jpeg"/><Relationship Id="rId70" Type="http://schemas.openxmlformats.org/officeDocument/2006/relationships/image" Target="media/image56.jpeg"/><Relationship Id="rId7" Type="http://schemas.openxmlformats.org/officeDocument/2006/relationships/theme" Target="theme/theme1.xml"/><Relationship Id="rId69" Type="http://schemas.openxmlformats.org/officeDocument/2006/relationships/image" Target="media/image55.jpeg"/><Relationship Id="rId68" Type="http://schemas.openxmlformats.org/officeDocument/2006/relationships/image" Target="media/image54.png"/><Relationship Id="rId67" Type="http://schemas.openxmlformats.org/officeDocument/2006/relationships/image" Target="media/image53.jpeg"/><Relationship Id="rId66" Type="http://schemas.openxmlformats.org/officeDocument/2006/relationships/image" Target="media/image52.jpeg"/><Relationship Id="rId65" Type="http://schemas.openxmlformats.org/officeDocument/2006/relationships/image" Target="media/image51.jpeg"/><Relationship Id="rId64" Type="http://schemas.openxmlformats.org/officeDocument/2006/relationships/image" Target="media/image50.jpeg"/><Relationship Id="rId63" Type="http://schemas.openxmlformats.org/officeDocument/2006/relationships/image" Target="media/image49.jpeg"/><Relationship Id="rId62" Type="http://schemas.openxmlformats.org/officeDocument/2006/relationships/image" Target="media/image48.jpeg"/><Relationship Id="rId61" Type="http://schemas.openxmlformats.org/officeDocument/2006/relationships/image" Target="media/image47.jpeg"/><Relationship Id="rId60" Type="http://schemas.openxmlformats.org/officeDocument/2006/relationships/image" Target="media/image46.jpeg"/><Relationship Id="rId6" Type="http://schemas.openxmlformats.org/officeDocument/2006/relationships/footer" Target="footer1.xml"/><Relationship Id="rId59" Type="http://schemas.openxmlformats.org/officeDocument/2006/relationships/image" Target="media/image45.jpeg"/><Relationship Id="rId58" Type="http://schemas.openxmlformats.org/officeDocument/2006/relationships/image" Target="media/image44.jpeg"/><Relationship Id="rId57" Type="http://schemas.openxmlformats.org/officeDocument/2006/relationships/image" Target="media/image43.jpeg"/><Relationship Id="rId56" Type="http://schemas.openxmlformats.org/officeDocument/2006/relationships/image" Target="media/image42.jpeg"/><Relationship Id="rId55" Type="http://schemas.openxmlformats.org/officeDocument/2006/relationships/image" Target="media/image41.jpeg"/><Relationship Id="rId54" Type="http://schemas.openxmlformats.org/officeDocument/2006/relationships/image" Target="media/image40.jpeg"/><Relationship Id="rId53" Type="http://schemas.openxmlformats.org/officeDocument/2006/relationships/image" Target="media/image39.jpeg"/><Relationship Id="rId52" Type="http://schemas.openxmlformats.org/officeDocument/2006/relationships/image" Target="media/image38.jpeg"/><Relationship Id="rId51" Type="http://schemas.openxmlformats.org/officeDocument/2006/relationships/image" Target="media/image37.jpeg"/><Relationship Id="rId50" Type="http://schemas.openxmlformats.org/officeDocument/2006/relationships/image" Target="media/image36.jpeg"/><Relationship Id="rId5" Type="http://schemas.openxmlformats.org/officeDocument/2006/relationships/header" Target="header1.xml"/><Relationship Id="rId49" Type="http://schemas.openxmlformats.org/officeDocument/2006/relationships/image" Target="media/image35.jpeg"/><Relationship Id="rId48" Type="http://schemas.openxmlformats.org/officeDocument/2006/relationships/image" Target="media/image34.jpeg"/><Relationship Id="rId47" Type="http://schemas.openxmlformats.org/officeDocument/2006/relationships/image" Target="media/image33.jpe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jpe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jpeg"/><Relationship Id="rId37" Type="http://schemas.openxmlformats.org/officeDocument/2006/relationships/image" Target="media/image23.jpeg"/><Relationship Id="rId36" Type="http://schemas.openxmlformats.org/officeDocument/2006/relationships/image" Target="media/image22.jpeg"/><Relationship Id="rId35" Type="http://schemas.openxmlformats.org/officeDocument/2006/relationships/image" Target="media/image21.jpe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wmf"/><Relationship Id="rId31" Type="http://schemas.openxmlformats.org/officeDocument/2006/relationships/oleObject" Target="embeddings/oleObject7.bin"/><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wmf"/><Relationship Id="rId28" Type="http://schemas.openxmlformats.org/officeDocument/2006/relationships/oleObject" Target="embeddings/oleObject6.bin"/><Relationship Id="rId27" Type="http://schemas.openxmlformats.org/officeDocument/2006/relationships/image" Target="media/image15.wmf"/><Relationship Id="rId26" Type="http://schemas.openxmlformats.org/officeDocument/2006/relationships/oleObject" Target="embeddings/oleObject5.bin"/><Relationship Id="rId25" Type="http://schemas.openxmlformats.org/officeDocument/2006/relationships/image" Target="media/image14.wmf"/><Relationship Id="rId24" Type="http://schemas.openxmlformats.org/officeDocument/2006/relationships/oleObject" Target="embeddings/oleObject4.bin"/><Relationship Id="rId23" Type="http://schemas.openxmlformats.org/officeDocument/2006/relationships/image" Target="media/image13.wmf"/><Relationship Id="rId22" Type="http://schemas.openxmlformats.org/officeDocument/2006/relationships/oleObject" Target="embeddings/oleObject3.bin"/><Relationship Id="rId21" Type="http://schemas.openxmlformats.org/officeDocument/2006/relationships/image" Target="media/image12.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1.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4" Type="http://schemas.openxmlformats.org/officeDocument/2006/relationships/fontTable" Target="fontTable.xml"/><Relationship Id="rId133" Type="http://schemas.openxmlformats.org/officeDocument/2006/relationships/customXml" Target="../customXml/item3.xml"/><Relationship Id="rId132" Type="http://schemas.openxmlformats.org/officeDocument/2006/relationships/customXml" Target="../customXml/item2.xml"/><Relationship Id="rId131" Type="http://schemas.openxmlformats.org/officeDocument/2006/relationships/numbering" Target="numbering.xml"/><Relationship Id="rId130" Type="http://schemas.openxmlformats.org/officeDocument/2006/relationships/customXml" Target="../customXml/item1.xml"/><Relationship Id="rId13" Type="http://schemas.openxmlformats.org/officeDocument/2006/relationships/image" Target="media/image6.png"/><Relationship Id="rId129" Type="http://schemas.openxmlformats.org/officeDocument/2006/relationships/image" Target="media/image115.png"/><Relationship Id="rId128" Type="http://schemas.openxmlformats.org/officeDocument/2006/relationships/image" Target="media/image114.png"/><Relationship Id="rId127" Type="http://schemas.openxmlformats.org/officeDocument/2006/relationships/image" Target="media/image113.png"/><Relationship Id="rId126" Type="http://schemas.openxmlformats.org/officeDocument/2006/relationships/image" Target="media/image112.pn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jpeg"/><Relationship Id="rId122" Type="http://schemas.openxmlformats.org/officeDocument/2006/relationships/image" Target="media/image108.jpeg"/><Relationship Id="rId121" Type="http://schemas.openxmlformats.org/officeDocument/2006/relationships/image" Target="media/image107.jpeg"/><Relationship Id="rId120" Type="http://schemas.openxmlformats.org/officeDocument/2006/relationships/image" Target="media/image106.jpeg"/><Relationship Id="rId12" Type="http://schemas.openxmlformats.org/officeDocument/2006/relationships/image" Target="media/image5.png"/><Relationship Id="rId119" Type="http://schemas.openxmlformats.org/officeDocument/2006/relationships/image" Target="media/image105.jpeg"/><Relationship Id="rId118" Type="http://schemas.openxmlformats.org/officeDocument/2006/relationships/image" Target="media/image104.jpeg"/><Relationship Id="rId117" Type="http://schemas.openxmlformats.org/officeDocument/2006/relationships/image" Target="media/image103.jpeg"/><Relationship Id="rId116" Type="http://schemas.openxmlformats.org/officeDocument/2006/relationships/image" Target="media/image102.jpeg"/><Relationship Id="rId115" Type="http://schemas.openxmlformats.org/officeDocument/2006/relationships/image" Target="media/image101.jpeg"/><Relationship Id="rId114" Type="http://schemas.openxmlformats.org/officeDocument/2006/relationships/image" Target="media/image100.jpeg"/><Relationship Id="rId113" Type="http://schemas.openxmlformats.org/officeDocument/2006/relationships/image" Target="media/image99.jpeg"/><Relationship Id="rId112" Type="http://schemas.openxmlformats.org/officeDocument/2006/relationships/image" Target="media/image98.jpeg"/><Relationship Id="rId111" Type="http://schemas.openxmlformats.org/officeDocument/2006/relationships/image" Target="media/image97.jpeg"/><Relationship Id="rId110" Type="http://schemas.openxmlformats.org/officeDocument/2006/relationships/image" Target="media/image96.jpeg"/><Relationship Id="rId11" Type="http://schemas.openxmlformats.org/officeDocument/2006/relationships/image" Target="media/image4.png"/><Relationship Id="rId109" Type="http://schemas.openxmlformats.org/officeDocument/2006/relationships/image" Target="media/image95.jpeg"/><Relationship Id="rId108" Type="http://schemas.openxmlformats.org/officeDocument/2006/relationships/image" Target="media/image94.jpeg"/><Relationship Id="rId107" Type="http://schemas.openxmlformats.org/officeDocument/2006/relationships/image" Target="media/image93.jpeg"/><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image" Target="media/image3.png"/><Relationship Id="rId1" Type="http://schemas.openxmlformats.org/officeDocument/2006/relationships/styles" Target="styles.xml"/><Relationship Id="rId135" Type="http://schemas.openxmlformats.org/officeDocument/2006/relationships/image" Target="media/image116.png"/><Relationship Id="rId136" Type="http://schemas.openxmlformats.org/officeDocument/2006/relationships/image" Target="media/image117.png"/><Relationship Id="rId137" Type="http://schemas.openxmlformats.org/officeDocument/2006/relationships/image" Target="media/image118.png"/><Relationship Id="rId138" Type="http://schemas.openxmlformats.org/officeDocument/2006/relationships/image" Target="media/image119.png"/><Relationship Id="rId139" Type="http://schemas.openxmlformats.org/officeDocument/2006/relationships/image" Target="media/image120.png"/><Relationship Id="rId140" Type="http://schemas.openxmlformats.org/officeDocument/2006/relationships/image" Target="media/image121.png"/><Relationship Id="rId141" Type="http://schemas.openxmlformats.org/officeDocument/2006/relationships/image" Target="media/image122.png"/><Relationship Id="rId142" Type="http://schemas.openxmlformats.org/officeDocument/2006/relationships/image" Target="media/image123.png"/><Relationship Id="rId143" Type="http://schemas.openxmlformats.org/officeDocument/2006/relationships/image" Target="media/image124.png"/><Relationship Id="rId144" Type="http://schemas.openxmlformats.org/officeDocument/2006/relationships/image" Target="media/image125.png"/><Relationship Id="rId145" Type="http://schemas.openxmlformats.org/officeDocument/2006/relationships/image" Target="media/image126.png"/><Relationship Id="rId146" Type="http://schemas.openxmlformats.org/officeDocument/2006/relationships/image" Target="media/image127.png"/><Relationship Id="rId147" Type="http://schemas.openxmlformats.org/officeDocument/2006/relationships/image" Target="media/image128.png"/><Relationship Id="rId148" Type="http://schemas.openxmlformats.org/officeDocument/2006/relationships/image" Target="media/image129.png"/><Relationship Id="rId149" Type="http://schemas.openxmlformats.org/officeDocument/2006/relationships/image" Target="media/image130.png"/><Relationship Id="rId150" Type="http://schemas.openxmlformats.org/officeDocument/2006/relationships/image" Target="media/image131.png"/><Relationship Id="rId151"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7FDB3116-7FC6-4074-8BFD-613BFCEE0C0E}">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2593</Words>
  <Characters>14884</Characters>
  <Lines>528</Lines>
  <Paragraphs>148</Paragraphs>
  <TotalTime>9</TotalTime>
  <ScaleCrop>false</ScaleCrop>
  <LinksUpToDate>false</LinksUpToDate>
  <CharactersWithSpaces>17263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creator>Haomiao Liu, Sinong Quan, Zhihao Cai</dc:creator>
  <cp:lastModifiedBy>神印天罗</cp:lastModifiedBy>
  <dcterms:modified xsi:type="dcterms:W3CDTF">2026-09-30T07:44:05Z</dcterms:modified>
  <cp:revision>5</cp:revision>
  <dc:title>Interpretable Polarimetric Scattering Representation for PolSAR Ship Detection via Knowledge-Distillation-Guided Symbolic Regression</dc:title>
  <dc:subject>IEEE Transactions manuscript</dc:subject>
  <cp:keywords>PolSAR; ship detection; symbolic regression; knowledge distillation; soft labels; interpretable representation</cp:keywords>
  <dc:description>Revised English version v74, IEEE Transactions format, 2026-10-17.</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eyJoZGlkIjoiOTMxYzdkNjcxNmNmN2U1ZWEyZTAzOWFmN2VkOWJkOTIiLCJ1c2VySWQiOiIxNjA4MzMxOTMwIn0=</vt:lpwstr>
  </property>
  <property fmtid="{D5CDD505-2E9C-101B-9397-08002B2CF9AE}" pid="3" name="KSOProductBuildVer">
    <vt:lpwstr>2052-12.1.0.28505</vt:lpwstr>
  </property>
  <property fmtid="{D5CDD505-2E9C-101B-9397-08002B2CF9AE}" pid="4" name="ICV">
    <vt:lpwstr>D7D524FB9F8E4B409B41C42A1DF02809_12</vt:lpwstr>
  </property>
</Properties>
</file>