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dc:creator>
  <dc:description>This work is in the public domain. It can be copied and reproduced without permission or attribution.</dc:description>
  <dc:language>en-us</dc:language>
  <cp:keywords>Statistics</cp:keywords>
  <dcterms:created xsi:type="dcterms:W3CDTF">2021-06-02T15:00:31Z</dcterms:created>
  <dcterms:modified xsi:type="dcterms:W3CDTF">2021-06-02T15:00:31Z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