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1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3200" w:x="1397" w:y="2880" w:hAnchor="page" w:vAnchor="page" w:wrap="none"/>
        <w:spacing w:after="0" w:before="0" w:line="280" w:lineRule="exact"/>
      </w:pPr>
      <w:r>
        <w:rPr>
          <w:rFonts w:ascii="Aptos" w:cs="Aptos" w:eastAsia="Aptos" w:hAnsi="Aptos"/>
          <w:color w:val="1B1E3C"/>
          <w:sz w:val="18"/>
          <w:szCs w:val="18"/>
          <w:lang w:val="fr-FR" w:eastAsia="fr-FR" w:bidi="ar-SA"/>
        </w:rPr>
        <w:t xml:space="preserve">Solutions de tri et de valorisation</w:t>
      </w:r>
      <w:r>
        <w:rPr>
          <w:rFonts w:ascii="Aptos" w:cs="Aptos" w:eastAsia="Aptos" w:hAnsi="Aptos"/>
          <w:color w:val="1B1E3C"/>
          <w:sz w:val="18"/>
          <w:szCs w:val="18"/>
          <w:lang w:val="fr-FR" w:eastAsia="fr-FR" w:bidi="ar-SA"/>
        </w:rPr>
        <w:br/>
        <w:t xml:space="preserve">des déchets clé en main</w:t>
      </w:r>
    </w:p>
    <w:p>
      <w:pPr>
        <w:framePr w:w="4700" w:x="1397" w:y="4940" w:hAnchor="page" w:vAnchor="page" w:wrap="none"/>
        <w:spacing w:after="0" w:before="0" w:line="680" w:lineRule="exact"/>
      </w:pPr>
      <w:r>
        <w:rPr>
          <w:rFonts w:ascii="Aptos" w:cs="Aptos" w:eastAsia="Aptos" w:hAnsi="Aptos"/>
          <w:b/>
          <w:bCs/>
          <w:color w:val="1B1E3C"/>
          <w:sz w:val="44"/>
          <w:szCs w:val="44"/>
          <w:lang w:val="fr-FR" w:eastAsia="fr-FR" w:bidi="ar-SA"/>
        </w:rPr>
        <w:t xml:space="preserve">GÉNÉRATEUR DE</w:t>
      </w:r>
      <w:r>
        <w:rPr>
          <w:rFonts w:ascii="Aptos" w:cs="Aptos" w:eastAsia="Aptos" w:hAnsi="Aptos"/>
          <w:b/>
          <w:bCs/>
          <w:color w:val="1B1E3C"/>
          <w:sz w:val="44"/>
          <w:szCs w:val="44"/>
          <w:lang w:val="fr-FR" w:eastAsia="fr-FR" w:bidi="ar-SA"/>
        </w:rPr>
        <w:br/>
        <w:t xml:space="preserve">PROGRAMME</w:t>
      </w:r>
      <w:r>
        <w:rPr>
          <w:rFonts w:ascii="Aptos" w:cs="Aptos" w:eastAsia="Aptos" w:hAnsi="Aptos"/>
          <w:b/>
          <w:bCs/>
          <w:color w:val="1B1E3C"/>
          <w:sz w:val="44"/>
          <w:szCs w:val="44"/>
          <w:lang w:val="fr-FR" w:eastAsia="fr-FR" w:bidi="ar-SA"/>
        </w:rPr>
        <w:br/>
        <w:t xml:space="preserve">TIA PORTAL</w:t>
      </w:r>
      <w:r>
        <w:rPr>
          <w:rFonts w:ascii="Aptos" w:cs="Aptos" w:eastAsia="Aptos" w:hAnsi="Aptos"/>
          <w:b/>
          <w:bCs/>
          <w:color w:val="1B1E3C"/>
          <w:sz w:val="44"/>
          <w:szCs w:val="44"/>
          <w:lang w:val="fr-FR" w:eastAsia="fr-FR" w:bidi="ar-SA"/>
        </w:rPr>
        <w:br/>
        <w:t xml:space="preserve">DEPUIS LE PID</w:t>
      </w:r>
    </w:p>
    <w:p>
      <w:pPr>
        <w:framePr w:w="3888" w:x="1397" w:y="7747" w:hAnchor="page" w:vAnchor="page" w:wrap="none"/>
        <w:pBdr>
          <w:bottom w:val="single" w:color="06D16F" w:sz="16" w:space="0"/>
        </w:pBdr>
        <w:spacing w:after="0" w:before="0" w:line="40" w:lineRule="exact"/>
      </w:pPr>
      <w:r>
        <w:rPr>
          <w:rFonts w:ascii="Aptos" w:cs="Aptos" w:eastAsia="Aptos" w:hAnsi="Aptos"/>
          <w:color w:val="1B1E3C"/>
          <w:sz w:val="2"/>
          <w:szCs w:val="2"/>
          <w:lang w:val="fr-FR" w:eastAsia="fr-FR" w:bidi="ar-SA"/>
        </w:rPr>
        <w:t xml:space="preserve"> </w:t>
      </w:r>
    </w:p>
    <w:p>
      <w:pPr>
        <w:framePr w:w="4700" w:x="1397" w:y="8842" w:hAnchor="page" w:vAnchor="page" w:wrap="none"/>
        <w:spacing w:after="0" w:before="0"/>
      </w:pPr>
      <w:r>
        <w:rPr>
          <w:rFonts w:ascii="Aptos" w:cs="Aptos" w:eastAsia="Aptos" w:hAnsi="Aptos"/>
          <w:color w:val="1B1E3C"/>
          <w:sz w:val="24"/>
          <w:szCs w:val="24"/>
          <w:lang w:val="fr-FR" w:eastAsia="fr-FR" w:bidi="ar-SA"/>
        </w:rPr>
        <w:t xml:space="preserve">Dossier de décision</w:t>
      </w:r>
    </w:p>
    <w:p>
      <w:pPr>
        <w:framePr w:w="3200" w:x="1397" w:y="13637" w:hAnchor="page" w:vAnchor="page" w:wrap="none"/>
        <w:spacing w:after="0" w:before="0"/>
      </w:pPr>
      <w:r>
        <w:rPr>
          <w:rFonts w:ascii="Aptos" w:cs="Aptos" w:eastAsia="Aptos" w:hAnsi="Aptos"/>
          <w:color w:val="1B1E3C"/>
          <w:sz w:val="20"/>
          <w:szCs w:val="20"/>
          <w:lang w:val="fr-FR" w:eastAsia="fr-FR" w:bidi="ar-SA"/>
        </w:rPr>
        <w:t xml:space="preserve">19/10/2026 - ALH</w:t>
      </w:r>
    </w:p>
    <w:p>
      <w:pPr>
        <w:sectPr>
          <w:pgSz w:w="11906" w:h="16838" w:orient="portrait"/>
          <w:pgMar w:top="1134" w:right="1134" w:bottom="567" w:left="1395" w:header="0" w:footer="0" w:gutter="0"/>
          <w:pgNumType/>
          <w:docGrid w:linePitch="360"/>
        </w:sectPr>
      </w:pPr>
    </w:p>
    <w:p>
      <w:pPr>
        <w:pBdr>
          <w:bottom w:val="single" w:color="21315B" w:sz="8" w:space="6"/>
        </w:pBdr>
        <w:spacing w:after="120" w:before="200"/>
        <w:jc w:val="center"/>
      </w:pPr>
      <w:r>
        <w:rPr>
          <w:rFonts w:ascii="Aptos" w:cs="Aptos" w:eastAsia="Aptos" w:hAnsi="Aptos"/>
          <w:b/>
          <w:bCs/>
          <w:color w:val="21315B"/>
          <w:sz w:val="40"/>
          <w:szCs w:val="40"/>
          <w:lang w:val="fr-FR" w:eastAsia="fr-FR" w:bidi="ar-SA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pPr>
            <w:pStyle w:val="TOC1"/>
          </w:pPr>
          <w:r>
            <w:t xml:space="preserve">Le constat</w:t>
          </w:r>
          <w:r>
            <w:tab/>
          </w:r>
          <w:r>
            <w:t>3</w:t>
          </w:r>
        </w:p>
        <w:p>
          <w:pPr>
            <w:pStyle w:val="TOC1"/>
          </w:pPr>
          <w:r>
            <w:t xml:space="preserve">La solution</w:t>
          </w:r>
          <w:r>
            <w:tab/>
          </w:r>
          <w:r>
            <w:t>3</w:t>
          </w:r>
        </w:p>
        <w:p>
          <w:pPr>
            <w:pStyle w:val="TOC1"/>
          </w:pPr>
          <w:r>
            <w:t xml:space="preserve">Gain par site</w:t>
          </w:r>
          <w:r>
            <w:tab/>
          </w:r>
          <w:r>
            <w:t>3</w:t>
          </w:r>
        </w:p>
        <w:p>
          <w:pPr>
            <w:pStyle w:val="TOC1"/>
          </w:pPr>
          <w:r>
            <w:t xml:space="preserve">Gain annuel</w:t>
          </w:r>
          <w:r>
            <w:tab/>
          </w:r>
          <w:r>
            <w:t>4</w:t>
          </w:r>
        </w:p>
        <w:p>
          <w:pPr>
            <w:pStyle w:val="TOC1"/>
          </w:pPr>
          <w:r>
            <w:t xml:space="preserve">Gains non chiffrés</w:t>
          </w:r>
          <w:r>
            <w:tab/>
          </w:r>
          <w:r>
            <w:t>4</w:t>
          </w:r>
        </w:p>
        <w:p>
          <w:pPr>
            <w:pStyle w:val="TOC1"/>
          </w:pPr>
          <w:r>
            <w:t xml:space="preserve">Investissement</w:t>
          </w:r>
          <w:r>
            <w:tab/>
          </w:r>
          <w:r>
            <w:t>5</w:t>
          </w:r>
        </w:p>
        <w:p>
          <w:pPr>
            <w:pStyle w:val="TOC1"/>
          </w:pPr>
          <w:r>
            <w:t xml:space="preserve">Risques et parades</w:t>
          </w:r>
          <w:r>
            <w:tab/>
          </w:r>
          <w:r>
            <w:t>5</w:t>
          </w:r>
        </w:p>
        <w:p>
          <w:pPr>
            <w:pStyle w:val="TOC1"/>
          </w:pPr>
          <w:r>
            <w:t xml:space="preserve">Décision demandée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Le constat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Un site standard coûte aujourd'hui 2 à 3 mois d'automaticien, soit 40 à 60 jours, et l'essentiel part dans la préparation des entrées, pas dans le code.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Pour écrire un bon programme, il faut d'abord réunir trois documents, aujourd'hui produits et corrigés à la main 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bilan électrique : fourni en entrée, mais à repasser systématiquement.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La matrice de sécurité : un Excel à deux feuilles, souvent mal fait, source récurrente de gros problèmes.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L'organigramme réseau : construit sur Visio par l'automaticien.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Une fois ces entrées justes, le programme et la supervision sont un montage de blocs standard, de la recopie dans TIA Portal. Le temps se perd donc à réconcilier trois fichiers qui ne se parlent pas, et à refaire ce que le PID du chargé d'affaires contenait déjà.</w:t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La solution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chargé d'affaires dessine le PID dans un éditeur web, clique sur « générer », et obtient un projet TIA Portal complet qui compile et démarre : programme automate, supervision WinCC Unified, programme de sécurité, configuration matérielle, listes d'entrées-sorties et bilan électrique, tous issus de la même source.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Deux logiciels, et rien à installer pour le chargé d'affaires 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Un éditeur de synoptique en HTML, ouvert depuis SharePoint dans le navigateur, qui connaît le catalogue des blocs standard Aktid.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Un générateur local sur le poste de l'automaticien, qui pilote TIA Portal V20 par TIA Openness et assemble le projet.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générateur n'invente rien : il instancie les blocs de la librairie globale, qui reste la seule source de vérité. Quand le référent standard publie une nouvelle version, le catalogue de l'éditeur se met à jour sans action manuelle.</w:t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Gain par site</w:t>
      </w:r>
    </w:p>
    <w:p>
      <w:pPr>
        <w:pBdr>
          <w:top w:val="single" w:color="06D16F" w:sz="12" w:space="4"/>
          <w:bottom w:val="single" w:color="06D16F" w:sz="12" w:space="4"/>
        </w:pBdr>
        <w:spacing w:after="200" w:before="160" w:line="276"/>
      </w:pPr>
      <w:r>
        <w:rPr>
          <w:rFonts w:ascii="Aptos" w:cs="Aptos" w:eastAsia="Aptos" w:hAnsi="Aptos"/>
          <w:b/>
          <w:bCs/>
          <w:i w:val="false"/>
          <w:iCs w:val="false"/>
          <w:color w:val="1B1E3C"/>
          <w:sz w:val="22"/>
          <w:szCs w:val="22"/>
          <w:lang w:val="fr-FR" w:eastAsia="fr-FR" w:bidi="ar-SA"/>
        </w:rPr>
        <w:t xml:space="preserve">Un site standard passe d'environ 50 jours à environ 10, soit 40 jours gagnés par site, parce que la préparation des entrées disparaît presque entièrement.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cs="Aptos" w:eastAsia="Aptos" w:hAnsi="Aptos"/>
          <w:i/>
          <w:iCs/>
          <w:color w:val="1F9489"/>
          <w:sz w:val="19"/>
          <w:szCs w:val="19"/>
          <w:lang w:val="fr-FR" w:eastAsia="fr-FR" w:bidi="ar-SA"/>
        </w:rPr>
        <w:t xml:space="preserve">Figure 1 - estimation Alex, octobre 2026 · répartition à affiner, total actuel constaté de 2 à 3 mois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dessin du PID n'est pas un coût nouveau : le chargé d'affaires le fait déjà aujourd'hui, il le fait simplement dans l'éditeur. La répartition des 50 jours est une estimation à confirmer sur le dernier site livré ; le total de 2 à 3 mois, lui, est constaté.</w:t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Gain annuel</w:t>
      </w:r>
    </w:p>
    <w:p>
      <w:pPr>
        <w:pBdr>
          <w:top w:val="single" w:color="06D16F" w:sz="12" w:space="4"/>
          <w:bottom w:val="single" w:color="06D16F" w:sz="12" w:space="4"/>
        </w:pBdr>
        <w:spacing w:after="200" w:before="160" w:line="276"/>
      </w:pPr>
      <w:r>
        <w:rPr>
          <w:rFonts w:ascii="Aptos" w:cs="Aptos" w:eastAsia="Aptos" w:hAnsi="Aptos"/>
          <w:b/>
          <w:bCs/>
          <w:i w:val="false"/>
          <w:iCs w:val="false"/>
          <w:color w:val="1B1E3C"/>
          <w:sz w:val="22"/>
          <w:szCs w:val="22"/>
          <w:lang w:val="fr-FR" w:eastAsia="fr-FR" w:bidi="ar-SA"/>
        </w:rPr>
        <w:t xml:space="preserve">L'outil est amorti dès le premier site : il coûte 20 jours à développer et en fait gagner environ 40 par site.</w:t>
      </w:r>
    </w:p>
    <w:tbl>
      <w:tblPr>
        <w:tblW w:type="dxa" w:w="9377"/>
        <w:tblBorders>
          <w:top w:val="single" w:color="C7CBD6" w:sz="4"/>
          <w:left w:val="single" w:color="C7CBD6" w:sz="4"/>
          <w:bottom w:val="single" w:color="C7CBD6" w:sz="4"/>
          <w:right w:val="single" w:color="C7CBD6" w:sz="4"/>
          <w:insideH w:val="single" w:color="C7CBD6" w:sz="4"/>
          <w:insideV w:val="single" w:color="C7CBD6" w:sz="4"/>
        </w:tblBorders>
      </w:tblPr>
      <w:tblGrid>
        <w:gridCol w:w="2509"/>
        <w:gridCol w:w="2861"/>
        <w:gridCol w:w="4007"/>
      </w:tblGrid>
      <w:tr>
        <w:trPr>
          <w:cantSplit/>
          <w:tblHeader/>
        </w:trPr>
        <w:tc>
          <w:tcPr>
            <w:tcW w:type="dxa" w:w="2509"/>
            <w:shd w:fill="2131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fr-FR" w:eastAsia="fr-FR" w:bidi="ar-SA"/>
              </w:rPr>
              <w:t xml:space="preserve">Sites générés par an</w:t>
            </w:r>
          </w:p>
        </w:tc>
        <w:tc>
          <w:tcPr>
            <w:tcW w:type="dxa" w:w="2861"/>
            <w:shd w:fill="2131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fr-FR" w:eastAsia="fr-FR" w:bidi="ar-SA"/>
              </w:rPr>
              <w:t xml:space="preserve">Jours gagnés (à 40 j/site)</w:t>
            </w:r>
          </w:p>
        </w:tc>
        <w:tc>
          <w:tcPr>
            <w:tcW w:type="dxa" w:w="4007"/>
            <w:shd w:fill="2131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fr-FR" w:eastAsia="fr-FR" w:bidi="ar-SA"/>
              </w:rPr>
              <w:t xml:space="preserve">Équivalent temps plein automaticien (base 200 j/an)</w:t>
            </w:r>
          </w:p>
        </w:tc>
      </w:tr>
      <w:tr>
        <w:trPr>
          <w:cantSplit/>
          <w:tblHeader w:val="false"/>
        </w:trPr>
        <w:tc>
          <w:tcPr>
            <w:tcW w:type="dxa" w:w="25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2</w:t>
            </w:r>
          </w:p>
        </w:tc>
        <w:tc>
          <w:tcPr>
            <w:tcW w:type="dxa" w:w="28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80</w:t>
            </w:r>
          </w:p>
        </w:tc>
        <w:tc>
          <w:tcPr>
            <w:tcW w:type="dxa" w:w="40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0,4</w:t>
            </w:r>
          </w:p>
        </w:tc>
      </w:tr>
      <w:tr>
        <w:trPr>
          <w:cantSplit/>
          <w:tblHeader w:val="false"/>
        </w:trPr>
        <w:tc>
          <w:tcPr>
            <w:tcW w:type="dxa" w:w="25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4</w:t>
            </w:r>
          </w:p>
        </w:tc>
        <w:tc>
          <w:tcPr>
            <w:tcW w:type="dxa" w:w="28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160</w:t>
            </w:r>
          </w:p>
        </w:tc>
        <w:tc>
          <w:tcPr>
            <w:tcW w:type="dxa" w:w="40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0,8</w:t>
            </w:r>
          </w:p>
        </w:tc>
      </w:tr>
      <w:tr>
        <w:trPr>
          <w:cantSplit/>
          <w:tblHeader w:val="false"/>
        </w:trPr>
        <w:tc>
          <w:tcPr>
            <w:tcW w:type="dxa" w:w="25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6</w:t>
            </w:r>
          </w:p>
        </w:tc>
        <w:tc>
          <w:tcPr>
            <w:tcW w:type="dxa" w:w="28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240</w:t>
            </w:r>
          </w:p>
        </w:tc>
        <w:tc>
          <w:tcPr>
            <w:tcW w:type="dxa" w:w="40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1,2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nombre de sites par an reste à renseigner par Aktid pour figer le chiffre ; les trois lignes donnent l'ordre de grandeur.</w:t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Gains non chiffrés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gain le plus durable n'est pas le temps, c'est la fin des trois fichiers à réconcilier : le PID devient la source unique, et tout le reste en découle.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Cohérence par construction : bilan électrique, matrice de sécurité, plan réseau, programme et supervision sont déduits du même PID.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Moins d'erreurs de saisie : les lignes de la matrice de sécurité sont pré-remplies depuis le PID, l'humain ne fait plus que cocher et valider.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standard Aktid s'applique à 100 % sur chaque site, quelle que soit la personne qui génère.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chargé d'affaires devient autonome pour produire un PID exploitable, sans TIA Portal et sans installation.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Une modification en cours d'affaire se répercute partout en une re-génération, tracée, sans écraser les retouches de l'automaticien.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La validation de sécurité reste humaine, en lien avec l'analyse de risque : l'outil supprime la saisie, pas la responsabilité.</w:t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Investissement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Un mois, soit 20 jours de travail d'Alex, sans ressource externe ni licence supplémentaire identifiée.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Développement avec Claude Code, un assistant de codage IA : Alex fournit les exemples réels et valide, l'outil écrit le code.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Environnement déjà en place : TIA Portal V20 sur tous les postes, TIA Openness fourni avec TIA Portal, SharePoint pour héberger l'éditeur.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Standards figés : la librairie de blocs Aktid est stable, aucune refonte à financer.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Prérequis avant le jour 1, une semaine de collecte : un projet TIA exemple, un extrait des listes SharePoint (HG, HS, règles d'empilement, plages d'adresses), un PID type et une matrice de sécurité Excel.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Pilote : un site de test 100 % standard. Succès si le programme et la supervision compilent et démarrent, et si un cycle de ligne tourne en simulation.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Les régulations avancées (FU) et les sites avec du spécifique restent codés à la main comme aujourd'hui ; ils viendront dans une version 2.</w:t>
      </w: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Risques et parades</w:t>
      </w:r>
    </w:p>
    <w:p>
      <w:pPr>
        <w:spacing w:after="14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Le risque principal est le démarrage : sans les exemples réels le premier jour, tout glisse.</w:t>
      </w:r>
    </w:p>
    <w:tbl>
      <w:tblPr>
        <w:tblW w:type="dxa" w:w="9377"/>
        <w:tblBorders>
          <w:top w:val="single" w:color="C7CBD6" w:sz="4"/>
          <w:left w:val="single" w:color="C7CBD6" w:sz="4"/>
          <w:bottom w:val="single" w:color="C7CBD6" w:sz="4"/>
          <w:right w:val="single" w:color="C7CBD6" w:sz="4"/>
          <w:insideH w:val="single" w:color="C7CBD6" w:sz="4"/>
          <w:insideV w:val="single" w:color="C7CBD6" w:sz="4"/>
        </w:tblBorders>
      </w:tblPr>
      <w:tblGrid>
        <w:gridCol w:w="3783"/>
        <w:gridCol w:w="5594"/>
      </w:tblGrid>
      <w:tr>
        <w:trPr>
          <w:cantSplit/>
          <w:tblHeader/>
        </w:trPr>
        <w:tc>
          <w:tcPr>
            <w:tcW w:type="dxa" w:w="3783"/>
            <w:shd w:fill="2131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fr-FR" w:eastAsia="fr-FR" w:bidi="ar-SA"/>
              </w:rPr>
              <w:t xml:space="preserve">Risque</w:t>
            </w:r>
          </w:p>
        </w:tc>
        <w:tc>
          <w:tcPr>
            <w:tcW w:type="dxa" w:w="5594"/>
            <w:shd w:fill="21315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  <w:lang w:val="fr-FR" w:eastAsia="fr-FR" w:bidi="ar-SA"/>
              </w:rPr>
              <w:t xml:space="preserve">Parade</w:t>
            </w:r>
          </w:p>
        </w:tc>
      </w:tr>
      <w:tr>
        <w:trPr>
          <w:cantSplit/>
          <w:tblHeader w:val="false"/>
        </w:trPr>
        <w:tc>
          <w:tcPr>
            <w:tcW w:type="dxa" w:w="3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Exemples réels fournis en retard</w:t>
            </w:r>
          </w:p>
        </w:tc>
        <w:tc>
          <w:tcPr>
            <w:tcW w:type="dxa" w:w="55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Semaine de collecte dédiée avant le jour 1 ; rien ne démarre sans le kit complet</w:t>
            </w:r>
          </w:p>
        </w:tc>
      </w:tr>
      <w:tr>
        <w:trPr>
          <w:cantSplit/>
          <w:tblHeader w:val="false"/>
        </w:trPr>
        <w:tc>
          <w:tcPr>
            <w:tcW w:type="dxa" w:w="3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Sites avec du spécifique que le générateur ne couvre pas</w:t>
            </w:r>
          </w:p>
        </w:tc>
        <w:tc>
          <w:tcPr>
            <w:tcW w:type="dxa" w:w="55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Zones réservées dans le programme, jamais écrasées ; le spécifique reste codé à la main comme aujourd'hui</w:t>
            </w:r>
          </w:p>
        </w:tc>
      </w:tr>
      <w:tr>
        <w:trPr>
          <w:cantSplit/>
          <w:tblHeader w:val="false"/>
        </w:trPr>
        <w:tc>
          <w:tcPr>
            <w:tcW w:type="dxa" w:w="3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Matrice de sécurité fausse, donc programme de sécurité faux</w:t>
            </w:r>
          </w:p>
        </w:tc>
        <w:tc>
          <w:tcPr>
            <w:tcW w:type="dxa" w:w="55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Validation humaine obligatoire avant génération, en lien avec l'analyse de risque</w:t>
            </w:r>
          </w:p>
        </w:tc>
      </w:tr>
      <w:tr>
        <w:trPr>
          <w:cantSplit/>
          <w:tblHeader w:val="false"/>
        </w:trPr>
        <w:tc>
          <w:tcPr>
            <w:tcW w:type="dxa" w:w="3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Dépendance à Alex pour la maintenance</w:t>
            </w:r>
          </w:p>
        </w:tc>
        <w:tc>
          <w:tcPr>
            <w:tcW w:type="dxa" w:w="55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Le générateur lit le catalogue exporté de la librairie : une évolution du standard se répercute sans toucher au code</w:t>
            </w:r>
          </w:p>
        </w:tc>
      </w:tr>
      <w:tr>
        <w:trPr>
          <w:cantSplit/>
          <w:tblHeader w:val="false"/>
        </w:trPr>
        <w:tc>
          <w:tcPr>
            <w:tcW w:type="dxa" w:w="3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Changement de version TIA Portal</w:t>
            </w:r>
          </w:p>
        </w:tc>
        <w:tc>
          <w:tcPr>
            <w:tcW w:type="dxa" w:w="55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Tout le monde en V20 ; un rétrofit sur version ancienne est migré en V20 plutôt que supporté</w:t>
            </w:r>
          </w:p>
        </w:tc>
      </w:tr>
      <w:tr>
        <w:trPr>
          <w:cantSplit/>
          <w:tblHeader w:val="false"/>
        </w:trPr>
        <w:tc>
          <w:tcPr>
            <w:tcW w:type="dxa" w:w="3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Le mois ne suffit pas</w:t>
            </w:r>
          </w:p>
        </w:tc>
        <w:tc>
          <w:tcPr>
            <w:tcW w:type="dxa" w:w="55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19"/>
                <w:szCs w:val="19"/>
                <w:lang w:val="fr-FR" w:eastAsia="fr-FR" w:bidi="ar-SA"/>
              </w:rPr>
              <w:t xml:space="preserve">Découpage en quatre lots livrables séparément : socle, éditeur, génération automate, supervision ; chaque lot a de la valeur seul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06D16F" w:sz="12" w:space="4"/>
        </w:pBdr>
        <w:spacing w:after="160" w:before="360"/>
      </w:pPr>
      <w:r>
        <w:rPr>
          <w:rFonts w:ascii="Aptos" w:cs="Aptos" w:eastAsia="Aptos" w:hAnsi="Aptos"/>
          <w:b/>
          <w:bCs/>
          <w:color w:val="1B1E3C"/>
          <w:sz w:val="32"/>
          <w:szCs w:val="32"/>
          <w:lang w:val="fr-FR" w:eastAsia="fr-FR" w:bidi="ar-SA"/>
        </w:rPr>
        <w:t xml:space="preserve">Décision demandée</w:t>
      </w:r>
    </w:p>
    <w:p>
      <w:pPr>
        <w:pBdr>
          <w:top w:val="single" w:color="06D16F" w:sz="12" w:space="4"/>
          <w:bottom w:val="single" w:color="06D16F" w:sz="12" w:space="4"/>
        </w:pBdr>
        <w:spacing w:after="200" w:before="160" w:line="276"/>
      </w:pPr>
      <w:r>
        <w:rPr>
          <w:rFonts w:ascii="Aptos" w:cs="Aptos" w:eastAsia="Aptos" w:hAnsi="Aptos"/>
          <w:b/>
          <w:bCs/>
          <w:i w:val="false"/>
          <w:iCs w:val="false"/>
          <w:color w:val="1B1E3C"/>
          <w:sz w:val="22"/>
          <w:szCs w:val="22"/>
          <w:lang w:val="fr-FR" w:eastAsia="fr-FR" w:bidi="ar-SA"/>
        </w:rPr>
        <w:t xml:space="preserve">Trois décisions permettent de lancer le projet.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Valider 20 jours d'Alex sur un mois, et fixer la date de démarrage (précédée d'une semaine de collecte des exemples).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Valider le périmètre de la version 1 : programme automate, sécurité, WinCC Unified, configuration matérielle, listes d'E/S et bilan électrique ; régulations avancées en version 2.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ptos" w:cs="Aptos" w:eastAsia="Aptos" w:hAnsi="Aptos"/>
          <w:i w:val="false"/>
          <w:iCs w:val="false"/>
          <w:color w:val="000000"/>
          <w:sz w:val="22"/>
          <w:szCs w:val="22"/>
          <w:lang w:val="fr-FR" w:eastAsia="fr-FR" w:bidi="ar-SA"/>
        </w:rPr>
        <w:t xml:space="preserve">Renseigner le nombre de sites standard générés par an pour figer le retour sur investissement.</w:t>
      </w:r>
    </w:p>
    <w:sectPr>
      <w:headerReference w:type="default" r:id="rId7"/>
      <w:footerReference w:type="default" r:id="rId8"/>
      <w:pgSz w:w="11906" w:h="16838" w:orient="portrait"/>
      <w:pgMar w:top="1701" w:right="1134" w:bottom="1417" w:left="1395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828675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rFonts w:ascii="Aptos" w:cs="Aptos" w:eastAsia="Aptos" w:hAnsi="Aptos"/>
        <w:b/>
        <w:bCs/>
        <w:color w:val="21315B"/>
        <w:sz w:val="22"/>
        <w:szCs w:val="22"/>
        <w:lang w:val="fr-FR" w:eastAsia="fr-FR" w:bidi="ar-SA"/>
      </w:rPr>
      <w:t xml:space="preserve">GÉNÉRATEUR TIA DEPUIS PID - DOSSIER BUSINESS</w:t>
    </w:r>
  </w:p>
  <w:p>
    <w:pPr>
      <w:shd w:fill="21315B" w:color="auto" w:val="clear"/>
      <w:spacing w:after="0" w:before="0"/>
      <w:ind w:left="8583"/>
      <w:jc w:val="center"/>
    </w:pPr>
    <w:r>
      <w:rPr>
        <w:rFonts w:ascii="Aptos" w:cs="Aptos" w:eastAsia="Aptos" w:hAnsi="Aptos"/>
        <w:b/>
        <w:bCs/>
        <w:color w:val="FFFFFF"/>
        <w:sz w:val="20"/>
        <w:szCs w:val="20"/>
        <w:lang w:val="fr-FR" w:eastAsia="fr-FR" w:bidi="ar-SA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 id="picbullet0" type="#_x0000_t75" style="width:9.5pt;height:9.5pt">
        <v:imagedata r:id="rIdPicBullet" o:title="puce"/>
      </v:shape>
    </w:pict>
  </w:numPicBullet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"/>
      <w:lvlPicBulletId w:val="0"/>
      <w:lvlJc w:val="left"/>
      <w:pPr>
        <w:ind w:left="720" w:hanging="360"/>
      </w:pPr>
      <w:rPr>
        <w:color w:val="2131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Segoe UI Symbol" w:cs="Segoe UI Symbol" w:eastAsia="Segoe UI Symbol" w:hAnsi="Segoe UI Symbol"/>
        <w:color w:val="2131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  <w:lang w:val="fr-FR" w:eastAsia="fr-FR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ptos" w:cs="Aptos" w:eastAsia="Aptos" w:hAnsi="Aptos"/>
      <w:b/>
      <w:bCs/>
      <w:color w:val="1B1E3C"/>
      <w:sz w:val="32"/>
      <w:szCs w:val="32"/>
    </w:rPr>
  </w:style>
  <w:style w:type="paragraph" w:styleId="TOC1">
    <w:name w:val="toc 1"/>
    <w:basedOn w:val="Normal"/>
    <w:next w:val="Normal"/>
    <w:pPr>
      <w:tabs>
        <w:tab w:val="right" w:pos="9377" w:leader="dot"/>
      </w:tabs>
      <w:spacing w:after="100"/>
    </w:pPr>
    <w:rPr>
      <w:rFonts w:ascii="Aptos" w:cs="Aptos" w:eastAsia="Aptos" w:hAnsi="Aptos"/>
      <w:b/>
      <w:bCs/>
      <w:color w:val="21315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ed701429161fc17dc5e68461f9deb3c1c9109b.jpg"/><Relationship Id="rId10" Type="http://schemas.openxmlformats.org/officeDocument/2006/relationships/image" Target="media/2b38c691f90d6cffb28dd99c14105a13ab43e12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4c3edba694abd6e085f4c1f9b20f8d04f53547b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numbering.xml.rels><?xml version="1.0" encoding="UTF-8" standalone="yes"?><Relationships xmlns="http://schemas.openxmlformats.org/package/2006/relationships"><Relationship Id="rIdPicBullet" Type="http://schemas.openxmlformats.org/officeDocument/2006/relationships/image" Target="media/bullet_icon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Générateur TIA depuis PID — Dossier business</dc:title>
  <dc:creator>ALH</dc:creator>
  <cp:lastModifiedBy>Un-named</cp:lastModifiedBy>
  <cp:revision>1</cp:revision>
  <dcterms:created xsi:type="dcterms:W3CDTF">2026-10-19T13:37:22.429Z</dcterms:created>
  <dcterms:modified xsi:type="dcterms:W3CDTF">2026-10-19T13:37:22.436Z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