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48"/>
          <w:szCs w:val="48"/>
        </w:rPr>
        <w:t xml:space="preserve">ROQUE LAW FIRM</w:t>
      </w:r>
    </w:p>
    <w:p>
      <w:pPr>
        <w:spacing w:after="200"/>
        <w:jc w:val="center"/>
      </w:pPr>
      <w:r>
        <w:rPr>
          <w:rFonts w:ascii="Arial" w:cs="Arial" w:eastAsia="Arial" w:hAnsi="Arial"/>
          <w:color w:val="2E75B6"/>
          <w:sz w:val="32"/>
          <w:szCs w:val="32"/>
        </w:rPr>
        <w:t xml:space="preserve">Personal Injury Hub Page</w:t>
      </w:r>
    </w:p>
    <w:p>
      <w:pPr>
        <w:spacing w:after="100"/>
        <w:jc w:val="center"/>
      </w:pPr>
      <w:r>
        <w:rPr>
          <w:rFonts w:ascii="Arial" w:cs="Arial" w:eastAsia="Arial" w:hAnsi="Arial"/>
          <w:color w:val="666666"/>
          <w:sz w:val="24"/>
          <w:szCs w:val="24"/>
        </w:rPr>
        <w:t xml:space="preserve">Full Content Outline &amp; Written Copy</w:t>
      </w:r>
    </w:p>
    <w:p>
      <w:pPr>
        <w:spacing w:after="100"/>
        <w:jc w:val="center"/>
      </w:pPr>
      <w:r>
        <w:rPr>
          <w:rFonts w:ascii="Arial" w:cs="Arial" w:eastAsia="Arial" w:hAnsi="Arial"/>
          <w:color w:val="666666"/>
          <w:sz w:val="22"/>
          <w:szCs w:val="22"/>
        </w:rPr>
        <w:t xml:space="preserve">URL: /personal-injury/</w:t>
      </w:r>
    </w:p>
    <w:p>
      <w:pPr>
        <w:spacing w:after="400"/>
        <w:jc w:val="center"/>
      </w:pPr>
      <w:r>
        <w:rPr>
          <w:rFonts w:ascii="Arial" w:cs="Arial" w:eastAsia="Arial" w:hAnsi="Arial"/>
          <w:color w:val="666666"/>
          <w:sz w:val="22"/>
          <w:szCs w:val="22"/>
        </w:rPr>
        <w:t xml:space="preserve">April 2026</w:t>
      </w:r>
    </w:p>
    <w:p>
      <w:pPr>
        <w:pBdr>
          <w:bottom w:val="single" w:color="2E75B6" w:sz="2" w:space="4"/>
        </w:pBdr>
        <w:spacing w:after="200"/>
        <w:jc w:val="center"/>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F2F7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PURPOSE OF THIS DOCUMENT</w:t>
            </w:r>
          </w:p>
          <w:p>
            <w:r>
              <w:rPr>
                <w:rFonts w:ascii="Arial" w:cs="Arial" w:eastAsia="Arial" w:hAnsi="Arial"/>
                <w:color w:val="222222"/>
                <w:sz w:val="20"/>
                <w:szCs w:val="20"/>
              </w:rPr>
              <w:t xml:space="preserve">This is the complete content brief and written copy for the PI Hub page at /personal-injury/. It includes the exact page structure, all section headlines, body copy, CTA language, and implementation notes. This page is the silo hub — every PI practice page and location page links back here. It must establish trust, educate, and convert.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F2F7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META &amp; SEO</w:t>
            </w:r>
          </w:p>
          <w:p>
            <w:r>
              <w:rPr>
                <w:rFonts w:ascii="Arial" w:cs="Arial" w:eastAsia="Arial" w:hAnsi="Arial"/>
                <w:color w:val="222222"/>
                <w:sz w:val="20"/>
                <w:szCs w:val="20"/>
              </w:rPr>
              <w:t xml:space="preserve">Meta Title: Houston Personal Injury Lawyer | Roque Law Firm (50 chars)
Meta Description: Injured in an accident in Houston? Get a free case review. No fee unless we win. Hablamos Español. Call 832-266-3582 now. (143 chars)
H1: Houston Personal Injury Lawyers Who Fight For You
Target Keywords: personal injury lawyer Houston, Houston injury attorney, accident lawyer Houston TX</w:t>
            </w:r>
          </w:p>
        </w:tc>
      </w:tr>
    </w:tbl>
    <w:p>
      <w:r>
        <w:br w:type="page"/>
      </w:r>
    </w:p>
    <w:p>
      <w:pPr>
        <w:pBdr>
          <w:bottom w:val="single" w:color="2E75B6" w:sz="2" w:space="4"/>
        </w:pBdr>
        <w:spacing w:after="200" w:before="400"/>
      </w:pPr>
      <w:r>
        <w:rPr>
          <w:rFonts w:ascii="Arial" w:cs="Arial" w:eastAsia="Arial" w:hAnsi="Arial"/>
          <w:b/>
          <w:bCs/>
          <w:color w:val="2E75B6"/>
          <w:sz w:val="20"/>
          <w:szCs w:val="20"/>
        </w:rPr>
        <w:t xml:space="preserve">SECTION 1</w:t>
      </w:r>
    </w:p>
    <w:p>
      <w:pPr>
        <w:pStyle w:val="Heading1"/>
        <w:spacing w:after="150" w:before="300"/>
      </w:pPr>
      <w:r>
        <w:rPr>
          <w:b/>
          <w:bCs/>
        </w:rPr>
        <w:t xml:space="preserve">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F2F7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LAYOUT NOTE</w:t>
            </w:r>
          </w:p>
          <w:p>
            <w:r>
              <w:rPr>
                <w:rFonts w:ascii="Arial" w:cs="Arial" w:eastAsia="Arial" w:hAnsi="Arial"/>
                <w:color w:val="222222"/>
                <w:sz w:val="20"/>
                <w:szCs w:val="20"/>
              </w:rPr>
              <w:t xml:space="preserve">Full-width hero background. Phone number click-to-call on right side. Two CTA buttons stacked or side-by-side below the subheadline. Language toggle (EN | ES) in top-right corner of the page header.</w:t>
            </w:r>
          </w:p>
        </w:tc>
      </w:tr>
    </w:tbl>
    <w:p>
      <w:pPr>
        <w:spacing w:after="100"/>
      </w:pPr>
    </w:p>
    <w:p>
      <w:pPr>
        <w:pStyle w:val="Heading3"/>
        <w:spacing w:after="150" w:before="300"/>
      </w:pPr>
      <w:r>
        <w:rPr>
          <w:b/>
          <w:bCs/>
        </w:rPr>
        <w:t xml:space="preserve">Headline (H1)</w:t>
      </w:r>
    </w:p>
    <w:p>
      <w:pPr>
        <w:spacing w:after="160"/>
      </w:pPr>
      <w:r>
        <w:rPr>
          <w:rFonts w:ascii="Arial" w:cs="Arial" w:eastAsia="Arial" w:hAnsi="Arial"/>
          <w:color w:val="222222"/>
          <w:sz w:val="22"/>
          <w:szCs w:val="22"/>
        </w:rPr>
        <w:t xml:space="preserve">Houston Personal Injury Lawyers Who Fight For You</w:t>
      </w:r>
    </w:p>
    <w:p>
      <w:pPr>
        <w:spacing w:after="100"/>
      </w:pPr>
    </w:p>
    <w:p>
      <w:pPr>
        <w:pStyle w:val="Heading3"/>
        <w:spacing w:after="150" w:before="300"/>
      </w:pPr>
      <w:r>
        <w:rPr>
          <w:b/>
          <w:bCs/>
        </w:rPr>
        <w:t xml:space="preserve">Subheadline</w:t>
      </w:r>
    </w:p>
    <w:p>
      <w:pPr>
        <w:spacing w:after="160"/>
      </w:pPr>
      <w:r>
        <w:rPr>
          <w:rFonts w:ascii="Arial" w:cs="Arial" w:eastAsia="Arial" w:hAnsi="Arial"/>
          <w:color w:val="222222"/>
          <w:sz w:val="22"/>
          <w:szCs w:val="22"/>
        </w:rPr>
        <w:t xml:space="preserve">Injured in an accident? You may be owed money for your medical bills, lost wages, and pain. We handle everything so you can focus on getting better.</w:t>
      </w:r>
    </w:p>
    <w:p>
      <w:pPr>
        <w:spacing w:after="100"/>
      </w:pPr>
    </w:p>
    <w:p>
      <w:pPr>
        <w:pStyle w:val="Heading3"/>
        <w:spacing w:after="150" w:before="300"/>
      </w:pPr>
      <w:r>
        <w:rPr>
          <w:b/>
          <w:bCs/>
        </w:rPr>
        <w:t xml:space="preserve">CTA Buttons</w:t>
      </w:r>
    </w:p>
    <w:p>
      <w:pPr>
        <w:spacing w:after="160"/>
      </w:pPr>
      <w:r>
        <w:rPr>
          <w:rFonts w:ascii="Arial" w:cs="Arial" w:eastAsia="Arial" w:hAnsi="Arial"/>
          <w:b/>
          <w:bCs/>
          <w:color w:val="222222"/>
          <w:sz w:val="22"/>
          <w:szCs w:val="22"/>
        </w:rPr>
        <w:t xml:space="preserve">Button 1: </w:t>
      </w:r>
      <w:r>
        <w:rPr>
          <w:rFonts w:ascii="Arial" w:cs="Arial" w:eastAsia="Arial" w:hAnsi="Arial"/>
          <w:color w:val="222222"/>
          <w:sz w:val="22"/>
          <w:szCs w:val="22"/>
        </w:rPr>
        <w:t xml:space="preserve">Call 832-266-3582 (click-to-call)</w:t>
      </w:r>
    </w:p>
    <w:p>
      <w:pPr>
        <w:spacing w:after="160"/>
      </w:pPr>
      <w:r>
        <w:rPr>
          <w:rFonts w:ascii="Arial" w:cs="Arial" w:eastAsia="Arial" w:hAnsi="Arial"/>
          <w:b/>
          <w:bCs/>
          <w:color w:val="222222"/>
          <w:sz w:val="22"/>
          <w:szCs w:val="22"/>
        </w:rPr>
        <w:t xml:space="preserve">Button 2: </w:t>
      </w:r>
      <w:r>
        <w:rPr>
          <w:rFonts w:ascii="Arial" w:cs="Arial" w:eastAsia="Arial" w:hAnsi="Arial"/>
          <w:color w:val="222222"/>
          <w:sz w:val="22"/>
          <w:szCs w:val="22"/>
        </w:rPr>
        <w:t xml:space="preserve">See What Your Case Could Be Worth → (scrolls to embedded chatbot section)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F2F7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 CHATBOT NOTE</w:t>
            </w:r>
          </w:p>
          <w:p>
            <w:r>
              <w:rPr>
                <w:rFonts w:ascii="Arial" w:cs="Arial" w:eastAsia="Arial" w:hAnsi="Arial"/>
                <w:color w:val="222222"/>
                <w:sz w:val="20"/>
                <w:szCs w:val="20"/>
              </w:rPr>
              <w:t xml:space="preserve">The "What’s My Case Worth" button scrolls to the chatbot section. The chatbot does NOT give dollar estimates. It qualifies the lead and routes to intake. The hook is the language — the bot delivers value by asking smart questions, not by quoting numbers. This keeps the firm compliant with Texas Bar rules.</w:t>
            </w:r>
          </w:p>
        </w:tc>
      </w:tr>
    </w:tbl>
    <w:p>
      <w:pPr>
        <w:pBdr>
          <w:bottom w:val="single" w:color="2E75B6" w:sz="2" w:space="4"/>
        </w:pBdr>
        <w:spacing w:after="200" w:before="400"/>
      </w:pPr>
      <w:r>
        <w:rPr>
          <w:rFonts w:ascii="Arial" w:cs="Arial" w:eastAsia="Arial" w:hAnsi="Arial"/>
          <w:b/>
          <w:bCs/>
          <w:color w:val="2E75B6"/>
          <w:sz w:val="20"/>
          <w:szCs w:val="20"/>
        </w:rPr>
        <w:t xml:space="preserve">SECTION 2</w:t>
      </w:r>
    </w:p>
    <w:p>
      <w:pPr>
        <w:pStyle w:val="Heading1"/>
        <w:spacing w:after="150" w:before="300"/>
      </w:pPr>
      <w:r>
        <w:rPr>
          <w:b/>
          <w:bCs/>
        </w:rPr>
        <w:t xml:space="preserve">Trust Bar</w:t>
      </w:r>
    </w:p>
    <w:p>
      <w:pPr>
        <w:spacing w:after="160"/>
      </w:pPr>
      <w:r>
        <w:rPr>
          <w:rFonts w:ascii="Arial" w:cs="Arial" w:eastAsia="Arial" w:hAnsi="Arial"/>
          <w:color w:val="222222"/>
          <w:sz w:val="22"/>
          <w:szCs w:val="22"/>
        </w:rPr>
        <w:t xml:space="preserve">Horizontal strip directly below the hero. Four trust signals in a row, separated by vertical dividers. Each one addresses a specific objection before the visitor even scrolls.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Hablamos Español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Free Consultation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Fee Unless We Win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Available 24/7</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F2F7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WHY THESE FOUR</w:t>
            </w:r>
          </w:p>
          <w:p>
            <w:r>
              <w:rPr>
                <w:rFonts w:ascii="Arial" w:cs="Arial" w:eastAsia="Arial" w:hAnsi="Arial"/>
                <w:color w:val="222222"/>
                <w:sz w:val="20"/>
                <w:szCs w:val="20"/>
              </w:rPr>
              <w:t xml:space="preserve">"Hablamos Español" — immediately signals to Houston’s large Spanish-speaking population that they’re welcome here. Most PI firms bury this in the footer. Putting it first is a differentiator.
"Free Consultation" — removes the money barrier. People assume lawyers cost money upfront.
"No Fee Unless We Win" — explains the contingency model in plain English. This is the single most important conversion message in PI.
"Available 24/7" — accidents happen at 2am. This tells people they can call right now, whatever time it is.</w:t>
            </w:r>
          </w:p>
        </w:tc>
      </w:tr>
    </w:tbl>
    <w:p>
      <w:pPr>
        <w:pBdr>
          <w:bottom w:val="single" w:color="2E75B6" w:sz="2" w:space="4"/>
        </w:pBdr>
        <w:spacing w:after="200" w:before="400"/>
      </w:pPr>
      <w:r>
        <w:rPr>
          <w:rFonts w:ascii="Arial" w:cs="Arial" w:eastAsia="Arial" w:hAnsi="Arial"/>
          <w:b/>
          <w:bCs/>
          <w:color w:val="2E75B6"/>
          <w:sz w:val="20"/>
          <w:szCs w:val="20"/>
        </w:rPr>
        <w:t xml:space="preserve">SECTION 3</w:t>
      </w:r>
    </w:p>
    <w:p>
      <w:pPr>
        <w:pStyle w:val="Heading1"/>
        <w:spacing w:after="150" w:before="300"/>
      </w:pPr>
      <w:r>
        <w:rPr>
          <w:b/>
          <w:bCs/>
        </w:rPr>
        <w:t xml:space="preserve">Introduction Copy</w:t>
      </w:r>
    </w:p>
    <w:p>
      <w:pPr>
        <w:spacing w:after="160"/>
        <w:rPr>
          <w:i/>
          <w:iCs/>
          <w:color w:val="666666"/>
        </w:rPr>
      </w:pPr>
      <w:r>
        <w:rPr>
          <w:rFonts w:ascii="Arial" w:cs="Arial" w:eastAsia="Arial" w:hAnsi="Arial"/>
          <w:i/>
          <w:iCs/>
          <w:color w:val="666666"/>
          <w:sz w:val="22"/>
          <w:szCs w:val="22"/>
        </w:rPr>
        <w:t xml:space="preserve">This section establishes Sara’s firm as a credible PI practice. It frames the co-counsel arrangement as "our specialized team" without using the word "referral." Warm, direct, matches Sara’s existing voice.</w:t>
      </w:r>
    </w:p>
    <w:p>
      <w:pPr>
        <w:spacing w:after="100"/>
      </w:pPr>
    </w:p>
    <w:p>
      <w:pPr>
        <w:pStyle w:val="Heading3"/>
        <w:spacing w:after="150" w:before="300"/>
      </w:pPr>
      <w:r>
        <w:rPr>
          <w:b/>
          <w:bCs/>
        </w:rPr>
        <w:t xml:space="preserve">Written Copy</w:t>
      </w:r>
    </w:p>
    <w:p>
      <w:pPr>
        <w:spacing w:after="160"/>
      </w:pPr>
      <w:r>
        <w:rPr>
          <w:rFonts w:ascii="Arial" w:cs="Arial" w:eastAsia="Arial" w:hAnsi="Arial"/>
          <w:color w:val="222222"/>
          <w:sz w:val="22"/>
          <w:szCs w:val="22"/>
        </w:rPr>
        <w:t xml:space="preserve">When you’re hurt in an accident, everything feels urgent. Medical bills start piling up. You can’t work. Insurance companies are calling, asking you to give recorded statements before you even know the full extent of your injuries. It’s overwhelming — and it’s exactly the situation insurance adjusters are trained to take advantage of.</w:t>
      </w:r>
    </w:p>
    <w:p>
      <w:pPr>
        <w:spacing w:after="160"/>
      </w:pPr>
      <w:r>
        <w:rPr>
          <w:rFonts w:ascii="Arial" w:cs="Arial" w:eastAsia="Arial" w:hAnsi="Arial"/>
          <w:color w:val="222222"/>
          <w:sz w:val="22"/>
          <w:szCs w:val="22"/>
        </w:rPr>
        <w:t xml:space="preserve">At the Roque Law Firm, we step in so you don’t have to face this alone. Attorney Sara Roque built this firm on a simple idea: every person deserves someone in their corner who actually fights for them. That’s what we’ve done for years in criminal defense, and it’s what our personal injury team does for accident victims across Harris County and the greater Houston area.</w:t>
      </w:r>
    </w:p>
    <w:p>
      <w:pPr>
        <w:spacing w:after="160"/>
      </w:pPr>
      <w:r>
        <w:rPr>
          <w:rFonts w:ascii="Arial" w:cs="Arial" w:eastAsia="Arial" w:hAnsi="Arial"/>
          <w:color w:val="222222"/>
          <w:sz w:val="22"/>
          <w:szCs w:val="22"/>
        </w:rPr>
        <w:t xml:space="preserve">Our approach is straightforward. You focus on healing. We handle everything else — the paperwork, the investigation, the negotiations with insurance companies, and if it comes to it, the courtroom. You pay nothing upfront, and you don’t owe us a dime unless we recover money for you.</w:t>
      </w:r>
    </w:p>
    <w:p>
      <w:pPr>
        <w:spacing w:after="160"/>
      </w:pPr>
      <w:r>
        <w:rPr>
          <w:rFonts w:ascii="Arial" w:cs="Arial" w:eastAsia="Arial" w:hAnsi="Arial"/>
          <w:color w:val="222222"/>
          <w:sz w:val="22"/>
          <w:szCs w:val="22"/>
        </w:rPr>
        <w:t xml:space="preserve">We also understand that for many families in Houston, language and immigration concerns can make an already stressful situation feel even harder. Our team is fully bilingual. We serve our Spanish-speaking clients with the same care and attention as every client who walks through our door. Your immigration status will never be a barrier to getting the legal help you deserve.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F2F7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 TEXAS BAR COMPLIANCE NOTE</w:t>
            </w:r>
          </w:p>
          <w:p>
            <w:r>
              <w:rPr>
                <w:rFonts w:ascii="Arial" w:cs="Arial" w:eastAsia="Arial" w:hAnsi="Arial"/>
                <w:color w:val="222222"/>
                <w:sz w:val="20"/>
                <w:szCs w:val="20"/>
              </w:rPr>
              <w:t xml:space="preserve">The co-counsel PI partner is never named on the site. Sara is introduced as the primary client contact. The intake paperwork (separate from the website) must include the written disclosure required by Texas State Bar Rule 1.04 regarding referral fee arrangements. The marketing language ("our team," "our advocates") is fine — the paperwork handles the legal transparency requirement.</w:t>
            </w:r>
          </w:p>
        </w:tc>
      </w:tr>
    </w:tbl>
    <w:p>
      <w:r>
        <w:br w:type="page"/>
      </w:r>
    </w:p>
    <w:p>
      <w:pPr>
        <w:pBdr>
          <w:bottom w:val="single" w:color="2E75B6" w:sz="2" w:space="4"/>
        </w:pBdr>
        <w:spacing w:after="200" w:before="400"/>
      </w:pPr>
      <w:r>
        <w:rPr>
          <w:rFonts w:ascii="Arial" w:cs="Arial" w:eastAsia="Arial" w:hAnsi="Arial"/>
          <w:b/>
          <w:bCs/>
          <w:color w:val="2E75B6"/>
          <w:sz w:val="20"/>
          <w:szCs w:val="20"/>
        </w:rPr>
        <w:t xml:space="preserve">SECTION 4</w:t>
      </w:r>
    </w:p>
    <w:p>
      <w:pPr>
        <w:pStyle w:val="Heading1"/>
        <w:spacing w:after="150" w:before="300"/>
      </w:pPr>
      <w:r>
        <w:rPr>
          <w:b/>
          <w:bCs/>
        </w:rPr>
        <w:t xml:space="preserve">Practice Area Grid</w:t>
      </w:r>
    </w:p>
    <w:p>
      <w:pPr>
        <w:spacing w:after="160"/>
      </w:pPr>
      <w:r>
        <w:rPr>
          <w:rFonts w:ascii="Arial" w:cs="Arial" w:eastAsia="Arial" w:hAnsi="Arial"/>
          <w:color w:val="222222"/>
          <w:sz w:val="22"/>
          <w:szCs w:val="22"/>
        </w:rPr>
        <w:t xml:space="preserve">Visual card grid. Each card has an icon, the practice area name, a one-line description, and a link to the dedicated practice page. 3 columns on desktop, 1 column stacked on mobile.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rFonts w:ascii="Arial" w:cs="Arial" w:eastAsia="Arial" w:hAnsi="Arial"/>
                <w:b/>
                <w:bCs/>
                <w:color w:val="1B3A5C"/>
                <w:sz w:val="22"/>
                <w:szCs w:val="22"/>
              </w:rPr>
              <w:t xml:space="preserve">Car Accidents</w:t>
            </w:r>
          </w:p>
          <w:p>
            <w:r>
              <w:rPr>
                <w:rFonts w:ascii="Arial" w:cs="Arial" w:eastAsia="Arial" w:hAnsi="Arial"/>
                <w:color w:val="222222"/>
                <w:sz w:val="18"/>
                <w:szCs w:val="18"/>
              </w:rPr>
              <w:t xml:space="preserve">The most common accident in Houston. We fight to get you full compensation.</w:t>
            </w:r>
          </w:p>
        </w:tc>
        <w:tc>
          <w:tcPr>
            <w:tcW w:type="dxa" w:w="312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rFonts w:ascii="Arial" w:cs="Arial" w:eastAsia="Arial" w:hAnsi="Arial"/>
                <w:b/>
                <w:bCs/>
                <w:color w:val="1B3A5C"/>
                <w:sz w:val="22"/>
                <w:szCs w:val="22"/>
              </w:rPr>
              <w:t xml:space="preserve">Truck Accidents</w:t>
            </w:r>
          </w:p>
          <w:p>
            <w:r>
              <w:rPr>
                <w:rFonts w:ascii="Arial" w:cs="Arial" w:eastAsia="Arial" w:hAnsi="Arial"/>
                <w:color w:val="222222"/>
                <w:sz w:val="18"/>
                <w:szCs w:val="18"/>
              </w:rPr>
              <w:t xml:space="preserve">Collisions with commercial trucks cause severe injuries. We hold trucking companies accountable.</w:t>
            </w:r>
          </w:p>
        </w:tc>
        <w:tc>
          <w:tcPr>
            <w:tcW w:type="dxa" w:w="312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rFonts w:ascii="Arial" w:cs="Arial" w:eastAsia="Arial" w:hAnsi="Arial"/>
                <w:b/>
                <w:bCs/>
                <w:color w:val="1B3A5C"/>
                <w:sz w:val="22"/>
                <w:szCs w:val="22"/>
              </w:rPr>
              <w:t xml:space="preserve">18-Wheeler Wrecks</w:t>
            </w:r>
          </w:p>
          <w:p>
            <w:r>
              <w:rPr>
                <w:rFonts w:ascii="Arial" w:cs="Arial" w:eastAsia="Arial" w:hAnsi="Arial"/>
                <w:color w:val="222222"/>
                <w:sz w:val="18"/>
                <w:szCs w:val="18"/>
              </w:rPr>
              <w:t xml:space="preserve">Big rig crashes on I-10 and I-45 carry the highest damages. We know how to build these cases.</w:t>
            </w:r>
          </w:p>
        </w:tc>
      </w:tr>
      <w:tr>
        <w:tc>
          <w:tcPr>
            <w:tcW w:type="dxa" w:w="312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rFonts w:ascii="Arial" w:cs="Arial" w:eastAsia="Arial" w:hAnsi="Arial"/>
                <w:b/>
                <w:bCs/>
                <w:color w:val="1B3A5C"/>
                <w:sz w:val="22"/>
                <w:szCs w:val="22"/>
              </w:rPr>
              <w:t xml:space="preserve">Motorcycle Accidents</w:t>
            </w:r>
          </w:p>
          <w:p>
            <w:r>
              <w:rPr>
                <w:rFonts w:ascii="Arial" w:cs="Arial" w:eastAsia="Arial" w:hAnsi="Arial"/>
                <w:color w:val="222222"/>
                <w:sz w:val="18"/>
                <w:szCs w:val="18"/>
              </w:rPr>
              <w:t xml:space="preserve">Riders face unfair bias after a crash. We make sure the evidence tells the real story.</w:t>
            </w:r>
          </w:p>
        </w:tc>
        <w:tc>
          <w:tcPr>
            <w:tcW w:type="dxa" w:w="312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rFonts w:ascii="Arial" w:cs="Arial" w:eastAsia="Arial" w:hAnsi="Arial"/>
                <w:b/>
                <w:bCs/>
                <w:color w:val="1B3A5C"/>
                <w:sz w:val="22"/>
                <w:szCs w:val="22"/>
              </w:rPr>
              <w:t xml:space="preserve">Uber &amp; Lyft Accidents</w:t>
            </w:r>
          </w:p>
          <w:p>
            <w:r>
              <w:rPr>
                <w:rFonts w:ascii="Arial" w:cs="Arial" w:eastAsia="Arial" w:hAnsi="Arial"/>
                <w:color w:val="222222"/>
                <w:sz w:val="18"/>
                <w:szCs w:val="18"/>
              </w:rPr>
              <w:t xml:space="preserve">Rideshare insurance is complicated. We sort out who pays so you don’t have to.</w:t>
            </w:r>
          </w:p>
        </w:tc>
        <w:tc>
          <w:tcPr>
            <w:tcW w:type="dxa" w:w="312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rFonts w:ascii="Arial" w:cs="Arial" w:eastAsia="Arial" w:hAnsi="Arial"/>
                <w:b/>
                <w:bCs/>
                <w:color w:val="1B3A5C"/>
                <w:sz w:val="22"/>
                <w:szCs w:val="22"/>
              </w:rPr>
              <w:t xml:space="preserve">Pedestrian &amp; Bicycle</w:t>
            </w:r>
          </w:p>
          <w:p>
            <w:r>
              <w:rPr>
                <w:rFonts w:ascii="Arial" w:cs="Arial" w:eastAsia="Arial" w:hAnsi="Arial"/>
                <w:color w:val="222222"/>
                <w:sz w:val="18"/>
                <w:szCs w:val="18"/>
              </w:rPr>
              <w:t xml:space="preserve">Houston is one of the most dangerous cities for pedestrians. We fight for victims on foot and on bikes.</w:t>
            </w:r>
          </w:p>
        </w:tc>
      </w:tr>
      <w:tr>
        <w:tc>
          <w:tcPr>
            <w:tcW w:type="dxa" w:w="312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pPr>
              <w:spacing w:after="60"/>
            </w:pPr>
            <w:r>
              <w:rPr>
                <w:rFonts w:ascii="Arial" w:cs="Arial" w:eastAsia="Arial" w:hAnsi="Arial"/>
                <w:b/>
                <w:bCs/>
                <w:color w:val="1B3A5C"/>
                <w:sz w:val="22"/>
                <w:szCs w:val="22"/>
              </w:rPr>
              <w:t xml:space="preserve">Wrongful Death</w:t>
            </w:r>
          </w:p>
          <w:p>
            <w:r>
              <w:rPr>
                <w:rFonts w:ascii="Arial" w:cs="Arial" w:eastAsia="Arial" w:hAnsi="Arial"/>
                <w:color w:val="222222"/>
                <w:sz w:val="18"/>
                <w:szCs w:val="18"/>
              </w:rPr>
              <w:t xml:space="preserve">When a loved one is taken too soon, your family deserves justice and financial security.</w:t>
            </w:r>
          </w:p>
        </w:tc>
        <w:tc>
          <w:tcPr>
            <w:tcW w:type="dxa" w:w="312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2F7FB" w:val="clear"/>
            <w:tcMar>
              <w:top w:type="dxa" w:w="120"/>
              <w:left w:type="dxa" w:w="160"/>
              <w:bottom w:type="dxa" w:w="120"/>
              <w:right w:type="dxa" w:w="160"/>
            </w:tcMar>
          </w:tcPr>
          <w:p>
            <w:r>
              <w:rPr>
                <w:rFonts w:ascii="Arial" w:cs="Arial" w:eastAsia="Arial" w:hAnsi="Arial"/>
                <w:sz w:val="18"/>
                <w:szCs w:val="18"/>
              </w:rPr>
              <w:t xml:space="preserve"/>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F2F7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CARD DESIGN NOTE</w:t>
            </w:r>
          </w:p>
          <w:p>
            <w:r>
              <w:rPr>
                <w:rFonts w:ascii="Arial" w:cs="Arial" w:eastAsia="Arial" w:hAnsi="Arial"/>
                <w:color w:val="222222"/>
                <w:sz w:val="20"/>
                <w:szCs w:val="20"/>
              </w:rPr>
              <w:t xml:space="preserve">Each card should have a simple line icon (not stock photos). Icons should be consistent in style — thin line, single color matching the brand. The card title is the link to the practice page. On hover, the card should subtly elevate (box shadow) to signal clickability.</w:t>
            </w:r>
          </w:p>
        </w:tc>
      </w:tr>
    </w:tbl>
    <w:p>
      <w:pPr>
        <w:pBdr>
          <w:bottom w:val="single" w:color="2E75B6" w:sz="2" w:space="4"/>
        </w:pBdr>
        <w:spacing w:after="200" w:before="400"/>
      </w:pPr>
      <w:r>
        <w:rPr>
          <w:rFonts w:ascii="Arial" w:cs="Arial" w:eastAsia="Arial" w:hAnsi="Arial"/>
          <w:b/>
          <w:bCs/>
          <w:color w:val="2E75B6"/>
          <w:sz w:val="20"/>
          <w:szCs w:val="20"/>
        </w:rPr>
        <w:t xml:space="preserve">SECTION 5</w:t>
      </w:r>
    </w:p>
    <w:p>
      <w:pPr>
        <w:pStyle w:val="Heading1"/>
        <w:spacing w:after="150" w:before="300"/>
      </w:pPr>
      <w:r>
        <w:rPr>
          <w:b/>
          <w:bCs/>
        </w:rPr>
        <w:t xml:space="preserve">"How It Works" Section</w:t>
      </w:r>
    </w:p>
    <w:p>
      <w:pPr>
        <w:spacing w:after="160"/>
        <w:rPr>
          <w:i/>
          <w:iCs/>
          <w:color w:val="666666"/>
        </w:rPr>
      </w:pPr>
      <w:r>
        <w:rPr>
          <w:rFonts w:ascii="Arial" w:cs="Arial" w:eastAsia="Arial" w:hAnsi="Arial"/>
          <w:i/>
          <w:iCs/>
          <w:color w:val="666666"/>
          <w:sz w:val="22"/>
          <w:szCs w:val="22"/>
        </w:rPr>
        <w:t xml:space="preserve">3-step visual process. This section reduces anxiety by showing that the process is simple and the client doesn’t have to do much. Numbered icons or a horizontal timeline visual. Each step gets a short headline and 2 sentences of explanation.</w:t>
      </w:r>
    </w:p>
    <w:p>
      <w:pPr>
        <w:spacing w:after="100"/>
      </w:pPr>
    </w:p>
    <w:p>
      <w:pPr>
        <w:pStyle w:val="Heading3"/>
        <w:spacing w:after="150" w:before="300"/>
      </w:pPr>
      <w:r>
        <w:rPr>
          <w:b/>
          <w:bCs/>
        </w:rPr>
        <w:t xml:space="preserve">Section Headline</w:t>
      </w:r>
    </w:p>
    <w:p>
      <w:pPr>
        <w:spacing w:after="160"/>
      </w:pPr>
      <w:r>
        <w:rPr>
          <w:rFonts w:ascii="Arial" w:cs="Arial" w:eastAsia="Arial" w:hAnsi="Arial"/>
          <w:color w:val="222222"/>
          <w:sz w:val="22"/>
          <w:szCs w:val="22"/>
        </w:rPr>
        <w:t xml:space="preserve">Here’s How We Help You Get Compensated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after="60"/>
              <w:jc w:val="center"/>
            </w:pPr>
            <w:r>
              <w:rPr>
                <w:rFonts w:ascii="Arial" w:cs="Arial" w:eastAsia="Arial" w:hAnsi="Arial"/>
                <w:b/>
                <w:bCs/>
                <w:color w:val="2E75B6"/>
                <w:sz w:val="20"/>
                <w:szCs w:val="20"/>
              </w:rPr>
              <w:t xml:space="preserve">STEP 1</w:t>
            </w:r>
          </w:p>
          <w:p>
            <w:pPr>
              <w:spacing w:after="60"/>
              <w:jc w:val="center"/>
            </w:pPr>
            <w:r>
              <w:rPr>
                <w:rFonts w:ascii="Arial" w:cs="Arial" w:eastAsia="Arial" w:hAnsi="Arial"/>
                <w:b/>
                <w:bCs/>
                <w:color w:val="1B3A5C"/>
                <w:sz w:val="22"/>
                <w:szCs w:val="22"/>
              </w:rPr>
              <w:t xml:space="preserve">Tell Us What Happened</w:t>
            </w:r>
          </w:p>
          <w:p>
            <w:pPr>
              <w:jc w:val="center"/>
            </w:pPr>
            <w:r>
              <w:rPr>
                <w:rFonts w:ascii="Arial" w:cs="Arial" w:eastAsia="Arial" w:hAnsi="Arial"/>
                <w:color w:val="222222"/>
                <w:sz w:val="18"/>
                <w:szCs w:val="18"/>
              </w:rPr>
              <w:t xml:space="preserve">Call us or use the form on this page. Tell us about your accident — we’ll listen, ask a few questions, and let you know if you have a case. It’s free and takes about 10 minutes.</w:t>
            </w:r>
          </w:p>
        </w:tc>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after="60"/>
              <w:jc w:val="center"/>
            </w:pPr>
            <w:r>
              <w:rPr>
                <w:rFonts w:ascii="Arial" w:cs="Arial" w:eastAsia="Arial" w:hAnsi="Arial"/>
                <w:b/>
                <w:bCs/>
                <w:color w:val="2E75B6"/>
                <w:sz w:val="20"/>
                <w:szCs w:val="20"/>
              </w:rPr>
              <w:t xml:space="preserve">STEP 2</w:t>
            </w:r>
          </w:p>
          <w:p>
            <w:pPr>
              <w:spacing w:after="60"/>
              <w:jc w:val="center"/>
            </w:pPr>
            <w:r>
              <w:rPr>
                <w:rFonts w:ascii="Arial" w:cs="Arial" w:eastAsia="Arial" w:hAnsi="Arial"/>
                <w:b/>
                <w:bCs/>
                <w:color w:val="1B3A5C"/>
                <w:sz w:val="22"/>
                <w:szCs w:val="22"/>
              </w:rPr>
              <w:t xml:space="preserve">We Investigate &amp; Build Your Case</w:t>
            </w:r>
          </w:p>
          <w:p>
            <w:pPr>
              <w:jc w:val="center"/>
            </w:pPr>
            <w:r>
              <w:rPr>
                <w:rFonts w:ascii="Arial" w:cs="Arial" w:eastAsia="Arial" w:hAnsi="Arial"/>
                <w:color w:val="222222"/>
                <w:sz w:val="18"/>
                <w:szCs w:val="18"/>
              </w:rPr>
              <w:t xml:space="preserve">We gather the police report, your medical records, witness statements, and everything else we need. We deal with the insurance companies directly — you never have to talk to them.</w:t>
            </w:r>
          </w:p>
        </w:tc>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after="60"/>
              <w:jc w:val="center"/>
            </w:pPr>
            <w:r>
              <w:rPr>
                <w:rFonts w:ascii="Arial" w:cs="Arial" w:eastAsia="Arial" w:hAnsi="Arial"/>
                <w:b/>
                <w:bCs/>
                <w:color w:val="2E75B6"/>
                <w:sz w:val="20"/>
                <w:szCs w:val="20"/>
              </w:rPr>
              <w:t xml:space="preserve">STEP 3</w:t>
            </w:r>
          </w:p>
          <w:p>
            <w:pPr>
              <w:spacing w:after="60"/>
              <w:jc w:val="center"/>
            </w:pPr>
            <w:r>
              <w:rPr>
                <w:rFonts w:ascii="Arial" w:cs="Arial" w:eastAsia="Arial" w:hAnsi="Arial"/>
                <w:b/>
                <w:bCs/>
                <w:color w:val="1B3A5C"/>
                <w:sz w:val="22"/>
                <w:szCs w:val="22"/>
              </w:rPr>
              <w:t xml:space="preserve">You Get Compensated</w:t>
            </w:r>
          </w:p>
          <w:p>
            <w:pPr>
              <w:jc w:val="center"/>
            </w:pPr>
            <w:r>
              <w:rPr>
                <w:rFonts w:ascii="Arial" w:cs="Arial" w:eastAsia="Arial" w:hAnsi="Arial"/>
                <w:color w:val="222222"/>
                <w:sz w:val="18"/>
                <w:szCs w:val="18"/>
              </w:rPr>
              <w:t xml:space="preserve">We negotiate with the insurance company to get you the maximum amount for your injuries, lost wages, and pain. If they won’t pay what’s fair, we take them to court.</w:t>
            </w:r>
          </w:p>
        </w:tc>
      </w:tr>
    </w:tbl>
    <w:p>
      <w:pPr>
        <w:spacing w:after="100"/>
      </w:pPr>
    </w:p>
    <w:p>
      <w:pPr>
        <w:spacing w:after="160"/>
      </w:pPr>
      <w:r>
        <w:rPr>
          <w:rFonts w:ascii="Arial" w:cs="Arial" w:eastAsia="Arial" w:hAnsi="Arial"/>
          <w:color w:val="222222"/>
          <w:sz w:val="22"/>
          <w:szCs w:val="22"/>
        </w:rPr>
        <w:t xml:space="preserve">And here’s the part that matters most: you pay nothing out of pocket. Our personal injury team works on a contingency fee — meaning we only get paid if we win your case. If we don’t recover money for you, you owe us nothing.</w:t>
      </w:r>
    </w:p>
    <w:p>
      <w:pPr>
        <w:pBdr>
          <w:bottom w:val="single" w:color="2E75B6" w:sz="2" w:space="4"/>
        </w:pBdr>
        <w:spacing w:after="200" w:before="400"/>
      </w:pPr>
      <w:r>
        <w:rPr>
          <w:rFonts w:ascii="Arial" w:cs="Arial" w:eastAsia="Arial" w:hAnsi="Arial"/>
          <w:b/>
          <w:bCs/>
          <w:color w:val="2E75B6"/>
          <w:sz w:val="20"/>
          <w:szCs w:val="20"/>
        </w:rPr>
        <w:t xml:space="preserve">SECTION 6</w:t>
      </w:r>
    </w:p>
    <w:p>
      <w:pPr>
        <w:pStyle w:val="Heading1"/>
        <w:spacing w:after="150" w:before="300"/>
      </w:pPr>
      <w:r>
        <w:rPr>
          <w:b/>
          <w:bCs/>
        </w:rPr>
        <w:t xml:space="preserve">"Know Your Rights" Callout Box</w:t>
      </w:r>
    </w:p>
    <w:p>
      <w:pPr>
        <w:spacing w:after="160"/>
        <w:rPr>
          <w:i/>
          <w:iCs/>
          <w:color w:val="666666"/>
        </w:rPr>
      </w:pPr>
      <w:r>
        <w:rPr>
          <w:rFonts w:ascii="Arial" w:cs="Arial" w:eastAsia="Arial" w:hAnsi="Arial"/>
          <w:i/>
          <w:iCs/>
          <w:color w:val="666666"/>
          <w:sz w:val="22"/>
          <w:szCs w:val="22"/>
        </w:rPr>
        <w:t xml:space="preserve">Visually distinct section — bordered box with a slightly different background color. This educates the visitor and subtly signals that they need legal help to protect these rights.</w:t>
      </w:r>
    </w:p>
    <w:p>
      <w:pPr>
        <w:spacing w:after="100"/>
      </w:pPr>
    </w:p>
    <w:p>
      <w:pPr>
        <w:pStyle w:val="Heading3"/>
        <w:spacing w:after="150" w:before="300"/>
      </w:pPr>
      <w:r>
        <w:rPr>
          <w:b/>
          <w:bCs/>
        </w:rPr>
        <w:t xml:space="preserve">Section Headline</w:t>
      </w:r>
    </w:p>
    <w:p>
      <w:pPr>
        <w:spacing w:after="160"/>
      </w:pPr>
      <w:r>
        <w:rPr>
          <w:rFonts w:ascii="Arial" w:cs="Arial" w:eastAsia="Arial" w:hAnsi="Arial"/>
          <w:color w:val="222222"/>
          <w:sz w:val="22"/>
          <w:szCs w:val="22"/>
        </w:rPr>
        <w:t xml:space="preserve">Your Rights After an Accident in Texas</w:t>
      </w:r>
    </w:p>
    <w:p>
      <w:pPr>
        <w:spacing w:after="100"/>
      </w:pPr>
    </w:p>
    <w:p>
      <w:pPr>
        <w:pStyle w:val="Heading3"/>
        <w:spacing w:after="150" w:before="300"/>
      </w:pPr>
      <w:r>
        <w:rPr>
          <w:b/>
          <w:bCs/>
        </w:rPr>
        <w:t xml:space="preserve">Written Copy</w:t>
      </w:r>
    </w:p>
    <w:p>
      <w:pPr>
        <w:spacing w:after="160"/>
      </w:pPr>
      <w:r>
        <w:rPr>
          <w:rFonts w:ascii="Arial" w:cs="Arial" w:eastAsia="Arial" w:hAnsi="Arial"/>
          <w:b/>
          <w:bCs/>
          <w:color w:val="222222"/>
          <w:sz w:val="22"/>
          <w:szCs w:val="22"/>
        </w:rPr>
        <w:t xml:space="preserve">You have the right to choose your own doctor. </w:t>
      </w:r>
      <w:r>
        <w:rPr>
          <w:rFonts w:ascii="Arial" w:cs="Arial" w:eastAsia="Arial" w:hAnsi="Arial"/>
          <w:color w:val="222222"/>
          <w:sz w:val="22"/>
          <w:szCs w:val="22"/>
        </w:rPr>
        <w:t xml:space="preserve">The other driver’s insurance company cannot tell you which doctor to see. You get to pick the medical providers you trust. And if you can’t afford treatment right now, we can connect you with doctors who will treat you now and get paid when your case resolves.</w:t>
      </w:r>
    </w:p>
    <w:p>
      <w:pPr>
        <w:spacing w:after="100"/>
      </w:pPr>
    </w:p>
    <w:p>
      <w:pPr>
        <w:spacing w:after="160"/>
      </w:pPr>
      <w:r>
        <w:rPr>
          <w:rFonts w:ascii="Arial" w:cs="Arial" w:eastAsia="Arial" w:hAnsi="Arial"/>
          <w:b/>
          <w:bCs/>
          <w:color w:val="222222"/>
          <w:sz w:val="22"/>
          <w:szCs w:val="22"/>
        </w:rPr>
        <w:t xml:space="preserve">You have the right to refuse a recorded statement. </w:t>
      </w:r>
      <w:r>
        <w:rPr>
          <w:rFonts w:ascii="Arial" w:cs="Arial" w:eastAsia="Arial" w:hAnsi="Arial"/>
          <w:color w:val="222222"/>
          <w:sz w:val="22"/>
          <w:szCs w:val="22"/>
        </w:rPr>
        <w:t xml:space="preserve">The other driver’s insurance adjuster will call you — sometimes within hours of the accident. They’ll ask you to give a recorded statement. You are not required to do this. In fact, anything you say can be used to reduce or deny your claim. Talk to a lawyer before you talk to their insurance company.</w:t>
      </w:r>
    </w:p>
    <w:p>
      <w:pPr>
        <w:spacing w:after="100"/>
      </w:pPr>
    </w:p>
    <w:p>
      <w:pPr>
        <w:spacing w:after="160"/>
      </w:pPr>
      <w:r>
        <w:rPr>
          <w:rFonts w:ascii="Arial" w:cs="Arial" w:eastAsia="Arial" w:hAnsi="Arial"/>
          <w:b/>
          <w:bCs/>
          <w:color w:val="222222"/>
          <w:sz w:val="22"/>
          <w:szCs w:val="22"/>
        </w:rPr>
        <w:t xml:space="preserve">You have two years to file. </w:t>
      </w:r>
      <w:r>
        <w:rPr>
          <w:rFonts w:ascii="Arial" w:cs="Arial" w:eastAsia="Arial" w:hAnsi="Arial"/>
          <w:color w:val="222222"/>
          <w:sz w:val="22"/>
          <w:szCs w:val="22"/>
        </w:rPr>
        <w:t xml:space="preserve">Texas law gives you two years from the date of the accident to file a personal injury lawsuit. That might sound like a long time, but evidence disappears, witnesses forget details, and medical records need to be gathered. The sooner you call, the stronger your case.</w:t>
      </w:r>
    </w:p>
    <w:p>
      <w:pPr>
        <w:spacing w:after="100"/>
      </w:pPr>
    </w:p>
    <w:p>
      <w:pPr>
        <w:spacing w:after="160"/>
      </w:pPr>
      <w:r>
        <w:rPr>
          <w:rFonts w:ascii="Arial" w:cs="Arial" w:eastAsia="Arial" w:hAnsi="Arial"/>
          <w:b/>
          <w:bCs/>
          <w:color w:val="222222"/>
          <w:sz w:val="22"/>
          <w:szCs w:val="22"/>
        </w:rPr>
        <w:t xml:space="preserve">You can still recover even if you were partly at fault. </w:t>
      </w:r>
      <w:r>
        <w:rPr>
          <w:rFonts w:ascii="Arial" w:cs="Arial" w:eastAsia="Arial" w:hAnsi="Arial"/>
          <w:color w:val="222222"/>
          <w:sz w:val="22"/>
          <w:szCs w:val="22"/>
        </w:rPr>
        <w:t xml:space="preserve">Texas follows a modified comparative fault rule. As long as you were less than 51% responsible for the accident, you can still recover compensation — it just gets reduced by your percentage of fault. Don’t assume you have no case because the accident wasn’t 100% the other driver’s fault.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F2F7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PERSUASION NOTE (Cialdini — Reciprocity + Authority)</w:t>
            </w:r>
          </w:p>
          <w:p>
            <w:r>
              <w:rPr>
                <w:rFonts w:ascii="Arial" w:cs="Arial" w:eastAsia="Arial" w:hAnsi="Arial"/>
                <w:color w:val="222222"/>
                <w:sz w:val="20"/>
                <w:szCs w:val="20"/>
              </w:rPr>
              <w:t xml:space="preserve">This section gives valuable, actionable legal information for free. The visitor gets real value before being asked for anything. This triggers the reciprocity principle — they’ve received something, and now they’re more inclined to give something back (their contact info). It also positions Sara’s firm as an authority — they clearly know Texas law, which makes the visitor trust them to handle the case.</w:t>
            </w:r>
          </w:p>
        </w:tc>
      </w:tr>
    </w:tbl>
    <w:p>
      <w:r>
        <w:br w:type="page"/>
      </w:r>
    </w:p>
    <w:p>
      <w:pPr>
        <w:pBdr>
          <w:bottom w:val="single" w:color="2E75B6" w:sz="2" w:space="4"/>
        </w:pBdr>
        <w:spacing w:after="200" w:before="400"/>
      </w:pPr>
      <w:r>
        <w:rPr>
          <w:rFonts w:ascii="Arial" w:cs="Arial" w:eastAsia="Arial" w:hAnsi="Arial"/>
          <w:b/>
          <w:bCs/>
          <w:color w:val="2E75B6"/>
          <w:sz w:val="20"/>
          <w:szCs w:val="20"/>
        </w:rPr>
        <w:t xml:space="preserve">SECTION 7</w:t>
      </w:r>
    </w:p>
    <w:p>
      <w:pPr>
        <w:pStyle w:val="Heading1"/>
        <w:spacing w:after="150" w:before="300"/>
      </w:pPr>
      <w:r>
        <w:rPr>
          <w:b/>
          <w:bCs/>
        </w:rPr>
        <w:t xml:space="preserve">Embedded Chatbot Section</w:t>
      </w:r>
    </w:p>
    <w:p>
      <w:pPr>
        <w:spacing w:after="160"/>
        <w:rPr>
          <w:i/>
          <w:iCs/>
          <w:color w:val="666666"/>
        </w:rPr>
      </w:pPr>
      <w:r>
        <w:rPr>
          <w:rFonts w:ascii="Arial" w:cs="Arial" w:eastAsia="Arial" w:hAnsi="Arial"/>
          <w:i/>
          <w:iCs/>
          <w:color w:val="666666"/>
          <w:sz w:val="22"/>
          <w:szCs w:val="22"/>
        </w:rPr>
        <w:t xml:space="preserve">Positioned approximately 60-70% down the page. The chatbot renders inline — it feels like part of the page, not a popup. This is the primary lead capture mechanism.</w:t>
      </w:r>
    </w:p>
    <w:p>
      <w:pPr>
        <w:spacing w:after="100"/>
      </w:pPr>
    </w:p>
    <w:p>
      <w:pPr>
        <w:pStyle w:val="Heading3"/>
        <w:spacing w:after="150" w:before="300"/>
      </w:pPr>
      <w:r>
        <w:rPr>
          <w:b/>
          <w:bCs/>
        </w:rPr>
        <w:t xml:space="preserve">Section Headline</w:t>
      </w:r>
    </w:p>
    <w:p>
      <w:pPr>
        <w:spacing w:after="160"/>
      </w:pPr>
      <w:r>
        <w:rPr>
          <w:rFonts w:ascii="Arial" w:cs="Arial" w:eastAsia="Arial" w:hAnsi="Arial"/>
          <w:color w:val="222222"/>
          <w:sz w:val="22"/>
          <w:szCs w:val="22"/>
        </w:rPr>
        <w:t xml:space="preserve">Not Sure If You Have a Case? Let’s Find Out.</w:t>
      </w:r>
    </w:p>
    <w:p>
      <w:pPr>
        <w:spacing w:after="100"/>
      </w:pPr>
    </w:p>
    <w:p>
      <w:pPr>
        <w:pStyle w:val="Heading3"/>
        <w:spacing w:after="150" w:before="300"/>
      </w:pPr>
      <w:r>
        <w:rPr>
          <w:b/>
          <w:bCs/>
        </w:rPr>
        <w:t xml:space="preserve">Subheadline</w:t>
      </w:r>
    </w:p>
    <w:p>
      <w:pPr>
        <w:spacing w:after="160"/>
      </w:pPr>
      <w:r>
        <w:rPr>
          <w:rFonts w:ascii="Arial" w:cs="Arial" w:eastAsia="Arial" w:hAnsi="Arial"/>
          <w:color w:val="222222"/>
          <w:sz w:val="22"/>
          <w:szCs w:val="22"/>
        </w:rPr>
        <w:t xml:space="preserve">Answer a few quick questions and our team will review your situation — free, no obligation.</w:t>
      </w:r>
    </w:p>
    <w:p>
      <w:pPr>
        <w:spacing w:after="100"/>
      </w:pPr>
    </w:p>
    <w:p>
      <w:pPr>
        <w:spacing w:after="160"/>
      </w:pPr>
      <w:r>
        <w:rPr>
          <w:rFonts w:ascii="Arial" w:cs="Arial" w:eastAsia="Arial" w:hAnsi="Arial"/>
          <w:color w:val="222222"/>
          <w:sz w:val="22"/>
          <w:szCs w:val="22"/>
        </w:rPr>
        <w:t xml:space="preserve">[CHATBOT RENDERS HERE — see Content Architecture Map, Section 2 for the full conversation flow, qualifying logic, and output messages]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F2F7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SPANISH VERSION</w:t>
            </w:r>
          </w:p>
          <w:p>
            <w:r>
              <w:rPr>
                <w:rFonts w:ascii="Arial" w:cs="Arial" w:eastAsia="Arial" w:hAnsi="Arial"/>
                <w:color w:val="222222"/>
                <w:sz w:val="20"/>
                <w:szCs w:val="20"/>
              </w:rPr>
              <w:t xml:space="preserve">Headline: "¿No está seguro si tiene un caso? Vamos a averiguarlo."
Subheadline: "Responda unas preguntas rápidas y nuestro equipo revisará su situación — gratis, sin compromiso."
The chatbot auto-detects the page language and opens in Spanish when the visitor is on /es/personal-injury/.</w:t>
            </w:r>
          </w:p>
        </w:tc>
      </w:tr>
    </w:tbl>
    <w:p>
      <w:pPr>
        <w:pBdr>
          <w:bottom w:val="single" w:color="2E75B6" w:sz="2" w:space="4"/>
        </w:pBdr>
        <w:spacing w:after="200" w:before="400"/>
      </w:pPr>
      <w:r>
        <w:rPr>
          <w:rFonts w:ascii="Arial" w:cs="Arial" w:eastAsia="Arial" w:hAnsi="Arial"/>
          <w:b/>
          <w:bCs/>
          <w:color w:val="2E75B6"/>
          <w:sz w:val="20"/>
          <w:szCs w:val="20"/>
        </w:rPr>
        <w:t xml:space="preserve">SECTION 8</w:t>
      </w:r>
    </w:p>
    <w:p>
      <w:pPr>
        <w:pStyle w:val="Heading1"/>
        <w:spacing w:after="150" w:before="300"/>
      </w:pPr>
      <w:r>
        <w:rPr>
          <w:b/>
          <w:bCs/>
        </w:rPr>
        <w:t xml:space="preserve">"Serving All of Greater Houston" Section</w:t>
      </w:r>
    </w:p>
    <w:p>
      <w:pPr>
        <w:spacing w:after="160"/>
        <w:rPr>
          <w:i/>
          <w:iCs/>
          <w:color w:val="666666"/>
        </w:rPr>
      </w:pPr>
      <w:r>
        <w:rPr>
          <w:rFonts w:ascii="Arial" w:cs="Arial" w:eastAsia="Arial" w:hAnsi="Arial"/>
          <w:i/>
          <w:iCs/>
          <w:color w:val="666666"/>
          <w:sz w:val="22"/>
          <w:szCs w:val="22"/>
        </w:rPr>
        <w:t xml:space="preserve">Links to all 8 location hub pages. This serves two purposes: (1) it shows geographic coverage to the visitor, and (2) it passes link equity from the hub page down to the location pages for SEO.</w:t>
      </w:r>
    </w:p>
    <w:p>
      <w:pPr>
        <w:spacing w:after="100"/>
      </w:pPr>
    </w:p>
    <w:p>
      <w:pPr>
        <w:pStyle w:val="Heading3"/>
        <w:spacing w:after="150" w:before="300"/>
      </w:pPr>
      <w:r>
        <w:rPr>
          <w:b/>
          <w:bCs/>
        </w:rPr>
        <w:t xml:space="preserve">Section Headline</w:t>
      </w:r>
    </w:p>
    <w:p>
      <w:pPr>
        <w:spacing w:after="160"/>
      </w:pPr>
      <w:r>
        <w:rPr>
          <w:rFonts w:ascii="Arial" w:cs="Arial" w:eastAsia="Arial" w:hAnsi="Arial"/>
          <w:color w:val="222222"/>
          <w:sz w:val="22"/>
          <w:szCs w:val="22"/>
        </w:rPr>
        <w:t xml:space="preserve">Serving Accident Victims Across Greater Houston</w:t>
      </w:r>
    </w:p>
    <w:p>
      <w:pPr>
        <w:spacing w:after="100"/>
      </w:pPr>
    </w:p>
    <w:p>
      <w:pPr>
        <w:pStyle w:val="Heading3"/>
        <w:spacing w:after="150" w:before="300"/>
      </w:pPr>
      <w:r>
        <w:rPr>
          <w:b/>
          <w:bCs/>
        </w:rPr>
        <w:t xml:space="preserve">Written Copy</w:t>
      </w:r>
    </w:p>
    <w:p>
      <w:pPr>
        <w:spacing w:after="160"/>
      </w:pPr>
      <w:r>
        <w:rPr>
          <w:rFonts w:ascii="Arial" w:cs="Arial" w:eastAsia="Arial" w:hAnsi="Arial"/>
          <w:color w:val="222222"/>
          <w:sz w:val="22"/>
          <w:szCs w:val="22"/>
        </w:rPr>
        <w:t xml:space="preserve">No matter where your accident happened in the Houston metro area, our team can help. We represent injury victims in Harris County, Fort Bend County, Montgomery County, Brazoria County, Galveston County, and the communities of Katy, Cypress, and Baytown.</w:t>
      </w:r>
    </w:p>
    <w:p>
      <w:pPr>
        <w:spacing w:after="100"/>
      </w:pPr>
    </w:p>
    <w:p>
      <w:pPr>
        <w:spacing w:after="160"/>
      </w:pPr>
      <w:r>
        <w:rPr>
          <w:rFonts w:ascii="Arial" w:cs="Arial" w:eastAsia="Arial" w:hAnsi="Arial"/>
          <w:color w:val="222222"/>
          <w:sz w:val="22"/>
          <w:szCs w:val="22"/>
        </w:rPr>
        <w:t xml:space="preserve">Each of these areas has its own dangerous roads, its own courts, and its own challenges. We know the local landscape because we work here every day.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Harris County</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Fort Bend County</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Montgomery County</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Brazoria County</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Galveston County</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Katy</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Cypress</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Baytown</w:t>
            </w:r>
          </w:p>
        </w:tc>
      </w:tr>
    </w:tbl>
    <w:p>
      <w:pPr>
        <w:spacing w:after="100"/>
      </w:pPr>
    </w:p>
    <w:p>
      <w:pPr>
        <w:spacing w:after="160"/>
      </w:pPr>
      <w:r>
        <w:rPr>
          <w:rFonts w:ascii="Arial" w:cs="Arial" w:eastAsia="Arial" w:hAnsi="Arial"/>
          <w:color w:val="222222"/>
          <w:sz w:val="22"/>
          <w:szCs w:val="22"/>
        </w:rPr>
        <w:t xml:space="preserve">Each location name links to the dedicated location hub page (e.g., Harris County → /personal-injury/harris-county/).</w:t>
      </w:r>
    </w:p>
    <w:p>
      <w:pPr>
        <w:pBdr>
          <w:bottom w:val="single" w:color="2E75B6" w:sz="2" w:space="4"/>
        </w:pBdr>
        <w:spacing w:after="200" w:before="400"/>
      </w:pPr>
      <w:r>
        <w:rPr>
          <w:rFonts w:ascii="Arial" w:cs="Arial" w:eastAsia="Arial" w:hAnsi="Arial"/>
          <w:b/>
          <w:bCs/>
          <w:color w:val="2E75B6"/>
          <w:sz w:val="20"/>
          <w:szCs w:val="20"/>
        </w:rPr>
        <w:t xml:space="preserve">SECTION 9</w:t>
      </w:r>
    </w:p>
    <w:p>
      <w:pPr>
        <w:pStyle w:val="Heading1"/>
        <w:spacing w:after="150" w:before="300"/>
      </w:pPr>
      <w:r>
        <w:rPr>
          <w:b/>
          <w:bCs/>
        </w:rPr>
        <w:t xml:space="preserve">Testimonials Section</w:t>
      </w:r>
    </w:p>
    <w:p>
      <w:pPr>
        <w:spacing w:after="160"/>
        <w:rPr>
          <w:i/>
          <w:iCs/>
          <w:color w:val="666666"/>
        </w:rPr>
      </w:pPr>
      <w:r>
        <w:rPr>
          <w:rFonts w:ascii="Arial" w:cs="Arial" w:eastAsia="Arial" w:hAnsi="Arial"/>
          <w:i/>
          <w:iCs/>
          <w:color w:val="666666"/>
          <w:sz w:val="22"/>
          <w:szCs w:val="22"/>
        </w:rPr>
        <w:t xml:space="preserve">Reuse existing criminal defense testimonials, framed at the firm level. These are proof that Sara’s firm treats clients well — the trust transfers across practice areas.</w:t>
      </w:r>
    </w:p>
    <w:p>
      <w:pPr>
        <w:spacing w:after="100"/>
      </w:pPr>
    </w:p>
    <w:p>
      <w:pPr>
        <w:pStyle w:val="Heading3"/>
        <w:spacing w:after="150" w:before="300"/>
      </w:pPr>
      <w:r>
        <w:rPr>
          <w:b/>
          <w:bCs/>
        </w:rPr>
        <w:t xml:space="preserve">Section Headline</w:t>
      </w:r>
    </w:p>
    <w:p>
      <w:pPr>
        <w:spacing w:after="160"/>
      </w:pPr>
      <w:r>
        <w:rPr>
          <w:rFonts w:ascii="Arial" w:cs="Arial" w:eastAsia="Arial" w:hAnsi="Arial"/>
          <w:color w:val="222222"/>
          <w:sz w:val="22"/>
          <w:szCs w:val="22"/>
        </w:rPr>
        <w:t xml:space="preserve">What Our Clients Say About Working With Us</w:t>
      </w:r>
    </w:p>
    <w:p>
      <w:pPr>
        <w:spacing w:after="100"/>
      </w:pPr>
    </w:p>
    <w:p>
      <w:pPr>
        <w:pStyle w:val="Heading3"/>
        <w:spacing w:after="150" w:before="300"/>
      </w:pPr>
      <w:r>
        <w:rPr>
          <w:b/>
          <w:bCs/>
        </w:rPr>
        <w:t xml:space="preserve">Display Format</w:t>
      </w:r>
    </w:p>
    <w:p>
      <w:pPr>
        <w:spacing w:after="160"/>
      </w:pPr>
      <w:r>
        <w:rPr>
          <w:rFonts w:ascii="Arial" w:cs="Arial" w:eastAsia="Arial" w:hAnsi="Arial"/>
          <w:color w:val="222222"/>
          <w:sz w:val="22"/>
          <w:szCs w:val="22"/>
        </w:rPr>
        <w:t xml:space="preserve">Pull 3-4 of the strongest 5-star Google reviews. Display each as a card with the review text (truncated to 2-3 sentences), the reviewer’s first name and last initial, and a star rating visual. Do NOT label these as criminal defense reviews — present them as firm-level testimonials.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F2F7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SOCIAL PROOF STRATEGY (Cialdini — Consensus)</w:t>
            </w:r>
          </w:p>
          <w:p>
            <w:r>
              <w:rPr>
                <w:rFonts w:ascii="Arial" w:cs="Arial" w:eastAsia="Arial" w:hAnsi="Arial"/>
                <w:color w:val="222222"/>
                <w:sz w:val="20"/>
                <w:szCs w:val="20"/>
              </w:rPr>
              <w:t xml:space="preserve">Reviews are the most powerful trust signal in PI. Lassiter Law’s 500+ reviews are a competitive moat. Sara doesn’t have PI-specific reviews yet, but her criminal defense reviews prove the firm is trustworthy, responsive, and fights hard. Frame them as evidence of how the firm operates, not what practice area they cover. As PI cases close, add PI-specific testimonials over time.</w:t>
            </w:r>
          </w:p>
        </w:tc>
      </w:tr>
    </w:tbl>
    <w:p>
      <w:pPr>
        <w:pBdr>
          <w:bottom w:val="single" w:color="2E75B6" w:sz="2" w:space="4"/>
        </w:pBdr>
        <w:spacing w:after="200" w:before="400"/>
      </w:pPr>
      <w:r>
        <w:rPr>
          <w:rFonts w:ascii="Arial" w:cs="Arial" w:eastAsia="Arial" w:hAnsi="Arial"/>
          <w:b/>
          <w:bCs/>
          <w:color w:val="2E75B6"/>
          <w:sz w:val="20"/>
          <w:szCs w:val="20"/>
        </w:rPr>
        <w:t xml:space="preserve">SECTION 10</w:t>
      </w:r>
    </w:p>
    <w:p>
      <w:pPr>
        <w:pStyle w:val="Heading1"/>
        <w:spacing w:after="150" w:before="300"/>
      </w:pPr>
      <w:r>
        <w:rPr>
          <w:b/>
          <w:bCs/>
        </w:rPr>
        <w:t xml:space="preserve">Final CTA Section</w:t>
      </w:r>
    </w:p>
    <w:p>
      <w:pPr>
        <w:spacing w:after="160"/>
        <w:rPr>
          <w:i/>
          <w:iCs/>
          <w:color w:val="666666"/>
        </w:rPr>
      </w:pPr>
      <w:r>
        <w:rPr>
          <w:rFonts w:ascii="Arial" w:cs="Arial" w:eastAsia="Arial" w:hAnsi="Arial"/>
          <w:i/>
          <w:iCs/>
          <w:color w:val="666666"/>
          <w:sz w:val="22"/>
          <w:szCs w:val="22"/>
        </w:rPr>
        <w:t xml:space="preserve">Bottom of the page. Last chance to convert. Phone number and a simple contact form. The tone shifts from educational to direct — this is the ask.</w:t>
      </w:r>
    </w:p>
    <w:p>
      <w:pPr>
        <w:spacing w:after="100"/>
      </w:pPr>
    </w:p>
    <w:p>
      <w:pPr>
        <w:pStyle w:val="Heading3"/>
        <w:spacing w:after="150" w:before="300"/>
      </w:pPr>
      <w:r>
        <w:rPr>
          <w:b/>
          <w:bCs/>
        </w:rPr>
        <w:t xml:space="preserve">Section Headline</w:t>
      </w:r>
    </w:p>
    <w:p>
      <w:pPr>
        <w:spacing w:after="160"/>
      </w:pPr>
      <w:r>
        <w:rPr>
          <w:rFonts w:ascii="Arial" w:cs="Arial" w:eastAsia="Arial" w:hAnsi="Arial"/>
          <w:color w:val="222222"/>
          <w:sz w:val="22"/>
          <w:szCs w:val="22"/>
        </w:rPr>
        <w:t xml:space="preserve">Ready to Talk? We’re Here.</w:t>
      </w:r>
    </w:p>
    <w:p>
      <w:pPr>
        <w:spacing w:after="100"/>
      </w:pPr>
    </w:p>
    <w:p>
      <w:pPr>
        <w:pStyle w:val="Heading3"/>
        <w:spacing w:after="150" w:before="300"/>
      </w:pPr>
      <w:r>
        <w:rPr>
          <w:b/>
          <w:bCs/>
        </w:rPr>
        <w:t xml:space="preserve">Written Copy</w:t>
      </w:r>
    </w:p>
    <w:p>
      <w:pPr>
        <w:spacing w:after="160"/>
      </w:pPr>
      <w:r>
        <w:rPr>
          <w:rFonts w:ascii="Arial" w:cs="Arial" w:eastAsia="Arial" w:hAnsi="Arial"/>
          <w:color w:val="222222"/>
          <w:sz w:val="22"/>
          <w:szCs w:val="22"/>
        </w:rPr>
        <w:t xml:space="preserve">If you’ve been hurt in an accident, the worst thing you can do is wait. Insurance companies are already building their case to pay you as little as possible. The sooner you call us, the sooner we can start protecting your rights and building your claim.</w:t>
      </w:r>
    </w:p>
    <w:p>
      <w:pPr>
        <w:spacing w:after="100"/>
      </w:pPr>
    </w:p>
    <w:p>
      <w:pPr>
        <w:spacing w:after="160"/>
      </w:pPr>
      <w:r>
        <w:rPr>
          <w:rFonts w:ascii="Arial" w:cs="Arial" w:eastAsia="Arial" w:hAnsi="Arial"/>
          <w:color w:val="222222"/>
          <w:sz w:val="22"/>
          <w:szCs w:val="22"/>
        </w:rPr>
        <w:t xml:space="preserve">Your consultation is free. You’ll talk to a real person, not a robot. And if we take your case, you pay nothing unless we win.</w:t>
      </w:r>
    </w:p>
    <w:p>
      <w:pPr>
        <w:spacing w:after="100"/>
      </w:pPr>
    </w:p>
    <w:p>
      <w:pPr>
        <w:spacing w:after="160"/>
      </w:pPr>
      <w:r>
        <w:rPr>
          <w:rFonts w:ascii="Arial" w:cs="Arial" w:eastAsia="Arial" w:hAnsi="Arial"/>
          <w:b/>
          <w:bCs/>
          <w:color w:val="222222"/>
          <w:sz w:val="22"/>
          <w:szCs w:val="22"/>
        </w:rPr>
        <w:t xml:space="preserve">Call now: </w:t>
      </w:r>
      <w:r>
        <w:rPr>
          <w:rFonts w:ascii="Arial" w:cs="Arial" w:eastAsia="Arial" w:hAnsi="Arial"/>
          <w:color w:val="222222"/>
          <w:sz w:val="22"/>
          <w:szCs w:val="22"/>
        </w:rPr>
        <w:t xml:space="preserve">832-266-3582</w:t>
      </w:r>
    </w:p>
    <w:p>
      <w:pPr>
        <w:spacing w:after="160"/>
      </w:pPr>
      <w:r>
        <w:rPr>
          <w:rFonts w:ascii="Arial" w:cs="Arial" w:eastAsia="Arial" w:hAnsi="Arial"/>
          <w:color w:val="222222"/>
          <w:sz w:val="22"/>
          <w:szCs w:val="22"/>
        </w:rPr>
        <w:t xml:space="preserve">Or fill out the form below and we’ll call you back within 24 hours.</w:t>
      </w:r>
    </w:p>
    <w:p>
      <w:pPr>
        <w:spacing w:after="100"/>
      </w:pPr>
    </w:p>
    <w:p>
      <w:pPr>
        <w:spacing w:after="160"/>
      </w:pPr>
      <w:r>
        <w:rPr>
          <w:rFonts w:ascii="Arial" w:cs="Arial" w:eastAsia="Arial" w:hAnsi="Arial"/>
          <w:color w:val="222222"/>
          <w:sz w:val="22"/>
          <w:szCs w:val="22"/>
        </w:rPr>
        <w:t xml:space="preserve">[CONTACT FORM: Name, Phone, Email (optional), Brief description of accident, Submit button]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F2F7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URGENCY NOTE (Hormozi — Scarcity of Time, Not Product)</w:t>
            </w:r>
          </w:p>
          <w:p>
            <w:r>
              <w:rPr>
                <w:rFonts w:ascii="Arial" w:cs="Arial" w:eastAsia="Arial" w:hAnsi="Arial"/>
                <w:color w:val="222222"/>
                <w:sz w:val="20"/>
                <w:szCs w:val="20"/>
              </w:rPr>
              <w:t xml:space="preserve">The urgency here is real, not manufactured. Evidence actually does degrade. Insurance companies actually do move fast. The two-year statute of limitations is a real deadline. This isn’t fake scarcity — it’s legitimate time pressure communicated honestly. That’s what makes it effective without feeling sleazy.</w:t>
            </w:r>
          </w:p>
        </w:tc>
      </w:tr>
    </w:tbl>
    <w:p>
      <w:r>
        <w:br w:type="page"/>
      </w:r>
    </w:p>
    <w:p>
      <w:pPr>
        <w:pBdr>
          <w:bottom w:val="single" w:color="2E75B6" w:sz="2" w:space="4"/>
        </w:pBdr>
        <w:spacing w:after="200" w:before="400"/>
      </w:pPr>
      <w:r>
        <w:rPr>
          <w:rFonts w:ascii="Arial" w:cs="Arial" w:eastAsia="Arial" w:hAnsi="Arial"/>
          <w:b/>
          <w:bCs/>
          <w:color w:val="2E75B6"/>
          <w:sz w:val="20"/>
          <w:szCs w:val="20"/>
        </w:rPr>
        <w:t xml:space="preserve">SECTION 11</w:t>
      </w:r>
    </w:p>
    <w:p>
      <w:pPr>
        <w:pStyle w:val="Heading1"/>
        <w:spacing w:after="150" w:before="300"/>
      </w:pPr>
      <w:r>
        <w:rPr>
          <w:b/>
          <w:bCs/>
        </w:rPr>
        <w:t xml:space="preserve">Sticky CTA Bar (Global Element)</w:t>
      </w:r>
    </w:p>
    <w:p>
      <w:pPr>
        <w:spacing w:after="160"/>
        <w:rPr>
          <w:i/>
          <w:iCs/>
          <w:color w:val="666666"/>
        </w:rPr>
      </w:pPr>
      <w:r>
        <w:rPr>
          <w:rFonts w:ascii="Arial" w:cs="Arial" w:eastAsia="Arial" w:hAnsi="Arial"/>
          <w:i/>
          <w:iCs/>
          <w:color w:val="666666"/>
          <w:sz w:val="22"/>
          <w:szCs w:val="22"/>
        </w:rPr>
        <w:t xml:space="preserve">This is NOT a section on the page — it’s a fixed bar at the bottom of the viewport that appears on every PI page. Documented here for completeness.</w:t>
      </w:r>
    </w:p>
    <w:p>
      <w:pPr>
        <w:spacing w:after="100"/>
      </w:pPr>
    </w:p>
    <w:p>
      <w:pPr>
        <w:spacing w:after="160"/>
      </w:pPr>
      <w:r>
        <w:rPr>
          <w:rFonts w:ascii="Arial" w:cs="Arial" w:eastAsia="Arial" w:hAnsi="Arial"/>
          <w:b/>
          <w:bCs/>
          <w:color w:val="222222"/>
          <w:sz w:val="22"/>
          <w:szCs w:val="22"/>
        </w:rPr>
        <w:t xml:space="preserve">Desktop: </w:t>
      </w:r>
      <w:r>
        <w:rPr>
          <w:rFonts w:ascii="Arial" w:cs="Arial" w:eastAsia="Arial" w:hAnsi="Arial"/>
          <w:color w:val="222222"/>
          <w:sz w:val="22"/>
          <w:szCs w:val="22"/>
        </w:rPr>
        <w:t xml:space="preserve">"Injured in an accident? Find out if you have a case." → [Check My Case]</w:t>
      </w:r>
    </w:p>
    <w:p>
      <w:pPr>
        <w:spacing w:after="160"/>
      </w:pPr>
      <w:r>
        <w:rPr>
          <w:rFonts w:ascii="Arial" w:cs="Arial" w:eastAsia="Arial" w:hAnsi="Arial"/>
          <w:b/>
          <w:bCs/>
          <w:color w:val="222222"/>
          <w:sz w:val="22"/>
          <w:szCs w:val="22"/>
        </w:rPr>
        <w:t xml:space="preserve">Mobile: </w:t>
      </w:r>
      <w:r>
        <w:rPr>
          <w:rFonts w:ascii="Arial" w:cs="Arial" w:eastAsia="Arial" w:hAnsi="Arial"/>
          <w:color w:val="222222"/>
          <w:sz w:val="22"/>
          <w:szCs w:val="22"/>
        </w:rPr>
        <w:t xml:space="preserve">"Injured? See if you have a case." → [Check My Case]</w:t>
      </w:r>
    </w:p>
    <w:p>
      <w:pPr>
        <w:spacing w:after="160"/>
      </w:pPr>
      <w:r>
        <w:rPr>
          <w:rFonts w:ascii="Arial" w:cs="Arial" w:eastAsia="Arial" w:hAnsi="Arial"/>
          <w:b/>
          <w:bCs/>
          <w:color w:val="222222"/>
          <w:sz w:val="22"/>
          <w:szCs w:val="22"/>
        </w:rPr>
        <w:t xml:space="preserve">Spanish: </w:t>
      </w:r>
      <w:r>
        <w:rPr>
          <w:rFonts w:ascii="Arial" w:cs="Arial" w:eastAsia="Arial" w:hAnsi="Arial"/>
          <w:color w:val="222222"/>
          <w:sz w:val="22"/>
          <w:szCs w:val="22"/>
        </w:rPr>
        <w:t xml:space="preserve">"Herido en un accidente? Vea si tiene un caso." → [Revisar Mi Caso]</w:t>
      </w:r>
    </w:p>
    <w:p>
      <w:pPr>
        <w:spacing w:after="100"/>
      </w:pPr>
    </w:p>
    <w:p>
      <w:pPr>
        <w:spacing w:after="160"/>
      </w:pPr>
      <w:r>
        <w:rPr>
          <w:rFonts w:ascii="Arial" w:cs="Arial" w:eastAsia="Arial" w:hAnsi="Arial"/>
          <w:color w:val="222222"/>
          <w:sz w:val="22"/>
          <w:szCs w:val="22"/>
        </w:rPr>
        <w:t xml:space="preserve">The button smooth-scrolls to the embedded chatbot section. The sticky bar hides when the user scrolls to the chatbot section (no double-up) and re-appears when they scroll past it.</w:t>
      </w:r>
    </w:p>
    <w:p>
      <w:pPr>
        <w:pBdr>
          <w:bottom w:val="single" w:color="2E75B6" w:sz="2" w:space="4"/>
        </w:pBdr>
        <w:spacing w:after="200" w:before="400"/>
      </w:pPr>
      <w:r>
        <w:rPr>
          <w:rFonts w:ascii="Arial" w:cs="Arial" w:eastAsia="Arial" w:hAnsi="Arial"/>
          <w:b/>
          <w:bCs/>
          <w:color w:val="2E75B6"/>
          <w:sz w:val="20"/>
          <w:szCs w:val="20"/>
        </w:rPr>
        <w:t xml:space="preserve">SECTION 12</w:t>
      </w:r>
    </w:p>
    <w:p>
      <w:pPr>
        <w:pStyle w:val="Heading1"/>
        <w:spacing w:after="150" w:before="300"/>
      </w:pPr>
      <w:r>
        <w:rPr>
          <w:b/>
          <w:bCs/>
        </w:rPr>
        <w:t xml:space="preserve">Full Page Outline — Top to Bottom</w:t>
      </w:r>
    </w:p>
    <w:p>
      <w:pPr>
        <w:spacing w:after="160"/>
      </w:pPr>
      <w:r>
        <w:rPr>
          <w:rFonts w:ascii="Arial" w:cs="Arial" w:eastAsia="Arial" w:hAnsi="Arial"/>
          <w:color w:val="222222"/>
          <w:sz w:val="22"/>
          <w:szCs w:val="22"/>
        </w:rPr>
        <w:t xml:space="preserve">Quick reference of every element on the page in order:</w:t>
      </w:r>
    </w:p>
    <w:p>
      <w:pPr>
        <w:spacing w:after="100"/>
      </w:pPr>
    </w:p>
    <w:p>
      <w:pPr>
        <w:pStyle w:val="ListParagraph"/>
        <w:numPr>
          <w:ilvl w:val="0"/>
          <w:numId w:val="2"/>
        </w:numPr>
        <w:spacing w:after="120"/>
      </w:pPr>
      <w:r>
        <w:rPr>
          <w:rFonts w:ascii="Arial" w:cs="Arial" w:eastAsia="Arial" w:hAnsi="Arial"/>
          <w:b/>
          <w:bCs/>
          <w:color w:val="1B3A5C"/>
          <w:sz w:val="22"/>
          <w:szCs w:val="22"/>
        </w:rPr>
        <w:t xml:space="preserve">1. Hero Section — </w:t>
      </w:r>
      <w:r>
        <w:rPr>
          <w:rFonts w:ascii="Arial" w:cs="Arial" w:eastAsia="Arial" w:hAnsi="Arial"/>
          <w:color w:val="222222"/>
          <w:sz w:val="22"/>
          <w:szCs w:val="22"/>
        </w:rPr>
        <w:t xml:space="preserve">H1 headline, subheadline, click-to-call phone, "What’s My Case Worth" button</w:t>
      </w:r>
    </w:p>
    <w:p>
      <w:pPr>
        <w:pStyle w:val="ListParagraph"/>
        <w:numPr>
          <w:ilvl w:val="0"/>
          <w:numId w:val="2"/>
        </w:numPr>
        <w:spacing w:after="120"/>
      </w:pPr>
      <w:r>
        <w:rPr>
          <w:rFonts w:ascii="Arial" w:cs="Arial" w:eastAsia="Arial" w:hAnsi="Arial"/>
          <w:b/>
          <w:bCs/>
          <w:color w:val="1B3A5C"/>
          <w:sz w:val="22"/>
          <w:szCs w:val="22"/>
        </w:rPr>
        <w:t xml:space="preserve">2. Trust Bar — </w:t>
      </w:r>
      <w:r>
        <w:rPr>
          <w:rFonts w:ascii="Arial" w:cs="Arial" w:eastAsia="Arial" w:hAnsi="Arial"/>
          <w:color w:val="222222"/>
          <w:sz w:val="22"/>
          <w:szCs w:val="22"/>
        </w:rPr>
        <w:t xml:space="preserve">Hablamos Español | Free Consultation | No Fee Unless We Win | Available 24/7</w:t>
      </w:r>
    </w:p>
    <w:p>
      <w:pPr>
        <w:pStyle w:val="ListParagraph"/>
        <w:numPr>
          <w:ilvl w:val="0"/>
          <w:numId w:val="2"/>
        </w:numPr>
        <w:spacing w:after="120"/>
      </w:pPr>
      <w:r>
        <w:rPr>
          <w:rFonts w:ascii="Arial" w:cs="Arial" w:eastAsia="Arial" w:hAnsi="Arial"/>
          <w:b/>
          <w:bCs/>
          <w:color w:val="1B3A5C"/>
          <w:sz w:val="22"/>
          <w:szCs w:val="22"/>
        </w:rPr>
        <w:t xml:space="preserve">3. Introduction Copy — </w:t>
      </w:r>
      <w:r>
        <w:rPr>
          <w:rFonts w:ascii="Arial" w:cs="Arial" w:eastAsia="Arial" w:hAnsi="Arial"/>
          <w:color w:val="222222"/>
          <w:sz w:val="22"/>
          <w:szCs w:val="22"/>
        </w:rPr>
        <w:t xml:space="preserve">2-3 paragraphs: firm credentials, Sara as primary contact, bilingual, immigration-friendly</w:t>
      </w:r>
    </w:p>
    <w:p>
      <w:pPr>
        <w:pStyle w:val="ListParagraph"/>
        <w:numPr>
          <w:ilvl w:val="0"/>
          <w:numId w:val="2"/>
        </w:numPr>
        <w:spacing w:after="120"/>
      </w:pPr>
      <w:r>
        <w:rPr>
          <w:rFonts w:ascii="Arial" w:cs="Arial" w:eastAsia="Arial" w:hAnsi="Arial"/>
          <w:b/>
          <w:bCs/>
          <w:color w:val="1B3A5C"/>
          <w:sz w:val="22"/>
          <w:szCs w:val="22"/>
        </w:rPr>
        <w:t xml:space="preserve">4. Practice Area Grid — </w:t>
      </w:r>
      <w:r>
        <w:rPr>
          <w:rFonts w:ascii="Arial" w:cs="Arial" w:eastAsia="Arial" w:hAnsi="Arial"/>
          <w:color w:val="222222"/>
          <w:sz w:val="22"/>
          <w:szCs w:val="22"/>
        </w:rPr>
        <w:t xml:space="preserve">7 cards linking to Car, Truck, 18-Wheeler, Motorcycle, Uber/Lyft, Pedestrian/Bicycle, Wrongful Death</w:t>
      </w:r>
    </w:p>
    <w:p>
      <w:pPr>
        <w:pStyle w:val="ListParagraph"/>
        <w:numPr>
          <w:ilvl w:val="0"/>
          <w:numId w:val="2"/>
        </w:numPr>
        <w:spacing w:after="120"/>
      </w:pPr>
      <w:r>
        <w:rPr>
          <w:rFonts w:ascii="Arial" w:cs="Arial" w:eastAsia="Arial" w:hAnsi="Arial"/>
          <w:b/>
          <w:bCs/>
          <w:color w:val="1B3A5C"/>
          <w:sz w:val="22"/>
          <w:szCs w:val="22"/>
        </w:rPr>
        <w:t xml:space="preserve">5. How It Works — </w:t>
      </w:r>
      <w:r>
        <w:rPr>
          <w:rFonts w:ascii="Arial" w:cs="Arial" w:eastAsia="Arial" w:hAnsi="Arial"/>
          <w:color w:val="222222"/>
          <w:sz w:val="22"/>
          <w:szCs w:val="22"/>
        </w:rPr>
        <w:t xml:space="preserve">3-step visual: Tell Us → We Investigate → You Get Compensated. Contingency fee explanation.</w:t>
      </w:r>
    </w:p>
    <w:p>
      <w:pPr>
        <w:pStyle w:val="ListParagraph"/>
        <w:numPr>
          <w:ilvl w:val="0"/>
          <w:numId w:val="2"/>
        </w:numPr>
        <w:spacing w:after="120"/>
      </w:pPr>
      <w:r>
        <w:rPr>
          <w:rFonts w:ascii="Arial" w:cs="Arial" w:eastAsia="Arial" w:hAnsi="Arial"/>
          <w:b/>
          <w:bCs/>
          <w:color w:val="1B3A5C"/>
          <w:sz w:val="22"/>
          <w:szCs w:val="22"/>
        </w:rPr>
        <w:t xml:space="preserve">6. Know Your Rights — </w:t>
      </w:r>
      <w:r>
        <w:rPr>
          <w:rFonts w:ascii="Arial" w:cs="Arial" w:eastAsia="Arial" w:hAnsi="Arial"/>
          <w:color w:val="222222"/>
          <w:sz w:val="22"/>
          <w:szCs w:val="22"/>
        </w:rPr>
        <w:t xml:space="preserve">Callout box: choose your doctor, refuse recorded statements, 2-year deadline, comparative fault</w:t>
      </w:r>
    </w:p>
    <w:p>
      <w:pPr>
        <w:pStyle w:val="ListParagraph"/>
        <w:numPr>
          <w:ilvl w:val="0"/>
          <w:numId w:val="2"/>
        </w:numPr>
        <w:spacing w:after="120"/>
      </w:pPr>
      <w:r>
        <w:rPr>
          <w:rFonts w:ascii="Arial" w:cs="Arial" w:eastAsia="Arial" w:hAnsi="Arial"/>
          <w:b/>
          <w:bCs/>
          <w:color w:val="1B3A5C"/>
          <w:sz w:val="22"/>
          <w:szCs w:val="22"/>
        </w:rPr>
        <w:t xml:space="preserve">7. Embedded Chatbot — </w:t>
      </w:r>
      <w:r>
        <w:rPr>
          <w:rFonts w:ascii="Arial" w:cs="Arial" w:eastAsia="Arial" w:hAnsi="Arial"/>
          <w:color w:val="222222"/>
          <w:sz w:val="22"/>
          <w:szCs w:val="22"/>
        </w:rPr>
        <w:t xml:space="preserve">"Not sure if you have a case? Let’s find out." Inline chatbot with qualifying flow.</w:t>
      </w:r>
    </w:p>
    <w:p>
      <w:pPr>
        <w:pStyle w:val="ListParagraph"/>
        <w:numPr>
          <w:ilvl w:val="0"/>
          <w:numId w:val="2"/>
        </w:numPr>
        <w:spacing w:after="120"/>
      </w:pPr>
      <w:r>
        <w:rPr>
          <w:rFonts w:ascii="Arial" w:cs="Arial" w:eastAsia="Arial" w:hAnsi="Arial"/>
          <w:b/>
          <w:bCs/>
          <w:color w:val="1B3A5C"/>
          <w:sz w:val="22"/>
          <w:szCs w:val="22"/>
        </w:rPr>
        <w:t xml:space="preserve">8. Serving Greater Houston — </w:t>
      </w:r>
      <w:r>
        <w:rPr>
          <w:rFonts w:ascii="Arial" w:cs="Arial" w:eastAsia="Arial" w:hAnsi="Arial"/>
          <w:color w:val="222222"/>
          <w:sz w:val="22"/>
          <w:szCs w:val="22"/>
        </w:rPr>
        <w:t xml:space="preserve">8 location hub links: Harris, Fort Bend, Montgomery, Brazoria, Galveston, Katy, Cypress, Baytown</w:t>
      </w:r>
    </w:p>
    <w:p>
      <w:pPr>
        <w:pStyle w:val="ListParagraph"/>
        <w:numPr>
          <w:ilvl w:val="0"/>
          <w:numId w:val="2"/>
        </w:numPr>
        <w:spacing w:after="120"/>
      </w:pPr>
      <w:r>
        <w:rPr>
          <w:rFonts w:ascii="Arial" w:cs="Arial" w:eastAsia="Arial" w:hAnsi="Arial"/>
          <w:b/>
          <w:bCs/>
          <w:color w:val="1B3A5C"/>
          <w:sz w:val="22"/>
          <w:szCs w:val="22"/>
        </w:rPr>
        <w:t xml:space="preserve">9. Testimonials — </w:t>
      </w:r>
      <w:r>
        <w:rPr>
          <w:rFonts w:ascii="Arial" w:cs="Arial" w:eastAsia="Arial" w:hAnsi="Arial"/>
          <w:color w:val="222222"/>
          <w:sz w:val="22"/>
          <w:szCs w:val="22"/>
        </w:rPr>
        <w:t xml:space="preserve">3-4 firm-level Google reviews. Star ratings. First name + last initial.</w:t>
      </w:r>
    </w:p>
    <w:p>
      <w:pPr>
        <w:pStyle w:val="ListParagraph"/>
        <w:numPr>
          <w:ilvl w:val="0"/>
          <w:numId w:val="2"/>
        </w:numPr>
        <w:spacing w:after="120"/>
      </w:pPr>
      <w:r>
        <w:rPr>
          <w:rFonts w:ascii="Arial" w:cs="Arial" w:eastAsia="Arial" w:hAnsi="Arial"/>
          <w:b/>
          <w:bCs/>
          <w:color w:val="1B3A5C"/>
          <w:sz w:val="22"/>
          <w:szCs w:val="22"/>
        </w:rPr>
        <w:t xml:space="preserve">10. Final CTA — </w:t>
      </w:r>
      <w:r>
        <w:rPr>
          <w:rFonts w:ascii="Arial" w:cs="Arial" w:eastAsia="Arial" w:hAnsi="Arial"/>
          <w:color w:val="222222"/>
          <w:sz w:val="22"/>
          <w:szCs w:val="22"/>
        </w:rPr>
        <w:t xml:space="preserve">"Ready to Talk?" Phone number + contact form. Urgency copy about evidence and deadlines.</w:t>
      </w:r>
    </w:p>
    <w:p>
      <w:pPr>
        <w:pStyle w:val="ListParagraph"/>
        <w:numPr>
          <w:ilvl w:val="0"/>
          <w:numId w:val="2"/>
        </w:numPr>
        <w:spacing w:after="120"/>
      </w:pPr>
      <w:r>
        <w:rPr>
          <w:rFonts w:ascii="Arial" w:cs="Arial" w:eastAsia="Arial" w:hAnsi="Arial"/>
          <w:b/>
          <w:bCs/>
          <w:color w:val="1B3A5C"/>
          <w:sz w:val="22"/>
          <w:szCs w:val="22"/>
        </w:rPr>
        <w:t xml:space="preserve">11. Sticky CTA Bar — </w:t>
      </w:r>
      <w:r>
        <w:rPr>
          <w:rFonts w:ascii="Arial" w:cs="Arial" w:eastAsia="Arial" w:hAnsi="Arial"/>
          <w:color w:val="222222"/>
          <w:sz w:val="22"/>
          <w:szCs w:val="22"/>
        </w:rPr>
        <w:t xml:space="preserve">Fixed bottom bar on all PI pages. "Check My Case" button → chatbot.</w:t>
      </w:r>
    </w:p>
    <w:p>
      <w:pPr>
        <w:spacing w:after="100"/>
      </w:pPr>
    </w:p>
    <w:p>
      <w:pPr>
        <w:pBdr>
          <w:bottom w:val="single" w:color="2E75B6" w:sz="2" w:space="4"/>
        </w:pBdr>
        <w:spacing w:after="200" w:before="400"/>
      </w:pPr>
      <w:r>
        <w:rPr>
          <w:rFonts w:ascii="Arial" w:cs="Arial" w:eastAsia="Arial" w:hAnsi="Arial"/>
          <w:b/>
          <w:bCs/>
          <w:color w:val="2E75B6"/>
          <w:sz w:val="20"/>
          <w:szCs w:val="20"/>
        </w:rPr>
        <w:t xml:space="preserve">SECTION 13</w:t>
      </w:r>
    </w:p>
    <w:p>
      <w:pPr>
        <w:pStyle w:val="Heading1"/>
        <w:spacing w:after="150" w:before="300"/>
      </w:pPr>
      <w:r>
        <w:rPr>
          <w:b/>
          <w:bCs/>
        </w:rPr>
        <w:t xml:space="preserve">Spanish Mirror Notes</w:t>
      </w:r>
    </w:p>
    <w:p>
      <w:pPr>
        <w:spacing w:after="160"/>
      </w:pPr>
      <w:r>
        <w:rPr>
          <w:rFonts w:ascii="Arial" w:cs="Arial" w:eastAsia="Arial" w:hAnsi="Arial"/>
          <w:color w:val="222222"/>
          <w:sz w:val="22"/>
          <w:szCs w:val="22"/>
        </w:rPr>
        <w:t xml:space="preserve">The Spanish version lives at /es/personal-injury/. It is NOT a machine translation — it must be written or reviewed by a native Spanish speaker. Key points:</w:t>
      </w:r>
    </w:p>
    <w:p>
      <w:pPr>
        <w:spacing w:after="100"/>
      </w:pPr>
    </w:p>
    <w:p>
      <w:pPr>
        <w:pStyle w:val="ListParagraph"/>
        <w:numPr>
          <w:ilvl w:val="0"/>
          <w:numId w:val="3"/>
        </w:numPr>
        <w:spacing w:after="100"/>
      </w:pPr>
      <w:r>
        <w:rPr>
          <w:rFonts w:ascii="Arial" w:cs="Arial" w:eastAsia="Arial" w:hAnsi="Arial"/>
          <w:color w:val="222222"/>
          <w:sz w:val="22"/>
          <w:szCs w:val="22"/>
        </w:rPr>
        <w:t xml:space="preserve">All hero text, CTAs, and trust bar items must be professionally translated</w:t>
      </w:r>
    </w:p>
    <w:p>
      <w:pPr>
        <w:pStyle w:val="ListParagraph"/>
        <w:numPr>
          <w:ilvl w:val="0"/>
          <w:numId w:val="3"/>
        </w:numPr>
        <w:spacing w:after="100"/>
      </w:pPr>
      <w:r>
        <w:rPr>
          <w:rFonts w:ascii="Arial" w:cs="Arial" w:eastAsia="Arial" w:hAnsi="Arial"/>
          <w:color w:val="222222"/>
          <w:sz w:val="22"/>
          <w:szCs w:val="22"/>
        </w:rPr>
        <w:t xml:space="preserve">The chatbot auto-detects page language and opens in Spanish</w:t>
      </w:r>
    </w:p>
    <w:p>
      <w:pPr>
        <w:pStyle w:val="ListParagraph"/>
        <w:numPr>
          <w:ilvl w:val="0"/>
          <w:numId w:val="3"/>
        </w:numPr>
        <w:spacing w:after="100"/>
      </w:pPr>
      <w:r>
        <w:rPr>
          <w:rFonts w:ascii="Arial" w:cs="Arial" w:eastAsia="Arial" w:hAnsi="Arial"/>
          <w:color w:val="222222"/>
          <w:sz w:val="22"/>
          <w:szCs w:val="22"/>
        </w:rPr>
        <w:t xml:space="preserve">Address immigration fears directly and reassuringly, matching the tone Sara already uses on her Spanish criminal defense page</w:t>
      </w:r>
    </w:p>
    <w:p>
      <w:pPr>
        <w:pStyle w:val="ListParagraph"/>
        <w:numPr>
          <w:ilvl w:val="0"/>
          <w:numId w:val="3"/>
        </w:numPr>
        <w:spacing w:after="100"/>
      </w:pPr>
      <w:r>
        <w:rPr>
          <w:rFonts w:ascii="Arial" w:cs="Arial" w:eastAsia="Arial" w:hAnsi="Arial"/>
          <w:color w:val="222222"/>
          <w:sz w:val="22"/>
          <w:szCs w:val="22"/>
        </w:rPr>
        <w:t xml:space="preserve">Hreflang tags in &lt;head&gt;: the English page references itself AND the Spanish page, and vice versa</w:t>
      </w:r>
    </w:p>
    <w:p>
      <w:pPr>
        <w:pStyle w:val="ListParagraph"/>
        <w:numPr>
          <w:ilvl w:val="0"/>
          <w:numId w:val="3"/>
        </w:numPr>
        <w:spacing w:after="100"/>
      </w:pPr>
      <w:r>
        <w:rPr>
          <w:rFonts w:ascii="Arial" w:cs="Arial" w:eastAsia="Arial" w:hAnsi="Arial"/>
          <w:color w:val="222222"/>
          <w:sz w:val="22"/>
          <w:szCs w:val="22"/>
        </w:rPr>
        <w:t xml:space="preserve">Footer links on Spanish pages auto-point to the /es/ versions of location hubs</w:t>
      </w:r>
    </w:p>
    <w:p>
      <w:pPr>
        <w:pStyle w:val="ListParagraph"/>
        <w:numPr>
          <w:ilvl w:val="0"/>
          <w:numId w:val="3"/>
        </w:numPr>
        <w:spacing w:after="100"/>
      </w:pPr>
      <w:r>
        <w:rPr>
          <w:rFonts w:ascii="Arial" w:cs="Arial" w:eastAsia="Arial" w:hAnsi="Arial"/>
          <w:color w:val="222222"/>
          <w:sz w:val="22"/>
          <w:szCs w:val="22"/>
        </w:rPr>
        <w:t xml:space="preserve">Legal Spanish has regional nuance — use vocabulary familiar to Houston’s predominantly Mexican and Central American Spanish-speaking population</w:t>
      </w:r>
    </w:p>
    <w:p>
      <w:pPr>
        <w:spacing w:after="100"/>
      </w:pPr>
    </w:p>
    <w:p>
      <w:pPr>
        <w:pBdr>
          <w:bottom w:val="single" w:color="2E75B6" w:sz="2" w:space="4"/>
        </w:pBdr>
        <w:spacing w:after="200" w:before="400"/>
      </w:pPr>
      <w:r>
        <w:rPr>
          <w:rFonts w:ascii="Arial" w:cs="Arial" w:eastAsia="Arial" w:hAnsi="Arial"/>
          <w:b/>
          <w:bCs/>
          <w:color w:val="2E75B6"/>
          <w:sz w:val="20"/>
          <w:szCs w:val="20"/>
        </w:rPr>
        <w:t xml:space="preserve">SECTION 14</w:t>
      </w:r>
    </w:p>
    <w:p>
      <w:pPr>
        <w:pStyle w:val="Heading1"/>
        <w:spacing w:after="150" w:before="300"/>
      </w:pPr>
      <w:r>
        <w:rPr>
          <w:b/>
          <w:bCs/>
        </w:rPr>
        <w:t xml:space="preserve">Technical Requirements for This Page</w:t>
      </w:r>
    </w:p>
    <w:p>
      <w:pPr>
        <w:pStyle w:val="ListParagraph"/>
        <w:numPr>
          <w:ilvl w:val="0"/>
          <w:numId w:val="3"/>
        </w:numPr>
        <w:spacing w:after="100"/>
      </w:pPr>
      <w:r>
        <w:rPr>
          <w:rFonts w:ascii="Arial" w:cs="Arial" w:eastAsia="Arial" w:hAnsi="Arial"/>
          <w:color w:val="222222"/>
          <w:sz w:val="22"/>
          <w:szCs w:val="22"/>
        </w:rPr>
        <w:t xml:space="preserve">LegalService schema markup with areaServed set to Houston / Harris County</w:t>
      </w:r>
    </w:p>
    <w:p>
      <w:pPr>
        <w:pStyle w:val="ListParagraph"/>
        <w:numPr>
          <w:ilvl w:val="0"/>
          <w:numId w:val="3"/>
        </w:numPr>
        <w:spacing w:after="100"/>
      </w:pPr>
      <w:r>
        <w:rPr>
          <w:rFonts w:ascii="Arial" w:cs="Arial" w:eastAsia="Arial" w:hAnsi="Arial"/>
          <w:color w:val="222222"/>
          <w:sz w:val="22"/>
          <w:szCs w:val="22"/>
        </w:rPr>
        <w:t xml:space="preserve">FAQPage schema (if FAQ section is added later — not in current hub spec but recommended)</w:t>
      </w:r>
    </w:p>
    <w:p>
      <w:pPr>
        <w:pStyle w:val="ListParagraph"/>
        <w:numPr>
          <w:ilvl w:val="0"/>
          <w:numId w:val="3"/>
        </w:numPr>
        <w:spacing w:after="100"/>
      </w:pPr>
      <w:r>
        <w:rPr>
          <w:rFonts w:ascii="Arial" w:cs="Arial" w:eastAsia="Arial" w:hAnsi="Arial"/>
          <w:color w:val="222222"/>
          <w:sz w:val="22"/>
          <w:szCs w:val="22"/>
        </w:rPr>
        <w:t xml:space="preserve">Breadcrumb: Home &gt; Personal Injury</w:t>
      </w:r>
    </w:p>
    <w:p>
      <w:pPr>
        <w:pStyle w:val="ListParagraph"/>
        <w:numPr>
          <w:ilvl w:val="0"/>
          <w:numId w:val="3"/>
        </w:numPr>
        <w:spacing w:after="100"/>
      </w:pPr>
      <w:r>
        <w:rPr>
          <w:rFonts w:ascii="Arial" w:cs="Arial" w:eastAsia="Arial" w:hAnsi="Arial"/>
          <w:color w:val="222222"/>
          <w:sz w:val="22"/>
          <w:szCs w:val="22"/>
        </w:rPr>
        <w:t xml:space="preserve">Canonical URL: https://roque-law-firm.com/personal-injury/</w:t>
      </w:r>
    </w:p>
    <w:p>
      <w:pPr>
        <w:pStyle w:val="ListParagraph"/>
        <w:numPr>
          <w:ilvl w:val="0"/>
          <w:numId w:val="3"/>
        </w:numPr>
        <w:spacing w:after="100"/>
      </w:pPr>
      <w:r>
        <w:rPr>
          <w:rFonts w:ascii="Arial" w:cs="Arial" w:eastAsia="Arial" w:hAnsi="Arial"/>
          <w:color w:val="222222"/>
          <w:sz w:val="22"/>
          <w:szCs w:val="22"/>
        </w:rPr>
        <w:t xml:space="preserve">Hreflang: self-referencing EN + counterpart ES</w:t>
      </w:r>
    </w:p>
    <w:p>
      <w:pPr>
        <w:pStyle w:val="ListParagraph"/>
        <w:numPr>
          <w:ilvl w:val="0"/>
          <w:numId w:val="3"/>
        </w:numPr>
        <w:spacing w:after="100"/>
      </w:pPr>
      <w:r>
        <w:rPr>
          <w:rFonts w:ascii="Arial" w:cs="Arial" w:eastAsia="Arial" w:hAnsi="Arial"/>
          <w:color w:val="222222"/>
          <w:sz w:val="22"/>
          <w:szCs w:val="22"/>
        </w:rPr>
        <w:t xml:space="preserve">Page speed: under 3 seconds on mobile. Lazy-load the chatbot JS.</w:t>
      </w:r>
    </w:p>
    <w:p>
      <w:pPr>
        <w:pStyle w:val="ListParagraph"/>
        <w:numPr>
          <w:ilvl w:val="0"/>
          <w:numId w:val="3"/>
        </w:numPr>
        <w:spacing w:after="100"/>
      </w:pPr>
      <w:r>
        <w:rPr>
          <w:rFonts w:ascii="Arial" w:cs="Arial" w:eastAsia="Arial" w:hAnsi="Arial"/>
          <w:color w:val="222222"/>
          <w:sz w:val="22"/>
          <w:szCs w:val="22"/>
        </w:rPr>
        <w:t xml:space="preserve">Chatbot JS loaded asynchronously to avoid blocking page render</w:t>
      </w:r>
    </w:p>
    <w:p>
      <w:pPr>
        <w:pStyle w:val="ListParagraph"/>
        <w:numPr>
          <w:ilvl w:val="0"/>
          <w:numId w:val="3"/>
        </w:numPr>
        <w:spacing w:after="100"/>
      </w:pPr>
      <w:r>
        <w:rPr>
          <w:rFonts w:ascii="Arial" w:cs="Arial" w:eastAsia="Arial" w:hAnsi="Arial"/>
          <w:color w:val="222222"/>
          <w:sz w:val="22"/>
          <w:szCs w:val="22"/>
        </w:rPr>
        <w:t xml:space="preserve">Sticky bar CSS loaded only on PI template pages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2026-04-07T16:44:27.856Z</dcterms:created>
  <dcterms:modified xsi:type="dcterms:W3CDTF">2026-04-07T16:44:27.857Z</dcterms:modified>
</cp:coreProperties>
</file>

<file path=docProps/custom.xml><?xml version="1.0" encoding="utf-8"?>
<Properties xmlns="http://schemas.openxmlformats.org/officeDocument/2006/custom-properties" xmlns:vt="http://schemas.openxmlformats.org/officeDocument/2006/docPropsVTypes"/>
</file>