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今日学んだIT知識まとめ（IBM MQ／Linux設定）</w:t>
      </w:r>
    </w:p>
    <w:p/>
    <w:p>
      <w:r>
        <w:rPr>
          <w:b/>
          <w:sz w:val="24"/>
        </w:rPr>
        <w:t>prefixとは</w:t>
      </w:r>
    </w:p>
    <w:p>
      <w:pPr>
        <w:spacing w:after="200"/>
      </w:pPr>
      <w:r>
        <w:t>prefixは「ある製品や機能が利用するファイル体系・データ領域の基点ディレクトリ」を指す概念で、IBM MQではインストール先（例: /opt/mqm）やキュー・マネージャ関連データの格納基点（例: /var/mqm）をprefixとして扱い、設定値を変えると参照パス・実行パス・証明書パスなどの前提が連鎖的に変化する。</w:t>
      </w:r>
    </w:p>
    <w:p>
      <w:r>
        <w:rPr>
          <w:b/>
          <w:sz w:val="24"/>
        </w:rPr>
        <w:t>要点（各段落1文）</w:t>
      </w:r>
    </w:p>
    <w:p>
      <w:pPr>
        <w:spacing w:after="120"/>
      </w:pPr>
      <w:r>
        <w:t>IBM MQの導入ではOSユーザmqmとグループmqmがインストール時に自動生成され得るため、既存のID体系（特に本番のサーバ標準UID/GID）と衝突しないように設計値でUID/GIDを揃える前提整理が重要である。</w:t>
      </w:r>
    </w:p>
    <w:p>
      <w:pPr>
        <w:spacing w:after="120"/>
      </w:pPr>
      <w:r>
        <w:t>環境変数PATHに/opt/mqm/binを追加する設定は、mqコマンド実行性を担保する運用要件であり、ログインシェルの読み込み順（.bash_profileと.bashrc）を理解したうえで「どのユーザのどのタイミングで反映させるか」を決める設計判断になる。</w:t>
      </w:r>
    </w:p>
    <w:p>
      <w:pPr>
        <w:spacing w:after="120"/>
      </w:pPr>
      <w:r>
        <w:t>MQのインストールパッケージはRuntime/Server/SDK/Samples/Java/JRE/Man/GSKitのように役割が分離され、サーバ機能・開発機能・運用補助・TLS基盤のどれを必要とするかで導入対象が変わるため、最小構成と将来拡張のトレードオフを明示して選定する。</w:t>
      </w:r>
    </w:p>
    <w:p>
      <w:pPr>
        <w:spacing w:after="120"/>
      </w:pPr>
      <w:r>
        <w:t>インストールオプションのprefix（例: /opt/mqm）は製品バイナリとライブラリの配置基点を規定し、ここを変えるとスクリプト・サービス定義・監視設定が参照する絶対パスも併せて見直し対象になる。</w:t>
      </w:r>
    </w:p>
    <w:p>
      <w:pPr>
        <w:spacing w:after="120"/>
      </w:pPr>
      <w:r>
        <w:t>QueueManagerのDefaultPrefix（例: /var/mqm）はキュー・マネージャの実体（ログ、キュー、チャネル定義、証明書関連など）の格納基点に相当し、容量設計やバックアップ設計はこのディレクトリ構造を前提に組み立てる必要がある。</w:t>
      </w:r>
    </w:p>
    <w:p>
      <w:pPr>
        <w:spacing w:after="120"/>
      </w:pPr>
      <w:r>
        <w:t>QueueManager名（QMGR名）は環境や用途（本番、対外、開発機、画面別など）を識別する論理キーで、命名規約が曖昧だと運用手順や監査証跡の追跡性が落ちるため、用途軸と環境軸を分けた命名方針を固定化する。</w:t>
      </w:r>
    </w:p>
    <w:p>
      <w:pPr>
        <w:spacing w:after="120"/>
      </w:pPr>
      <w:r>
        <w:t>QueueManagerのDirectory設定は&lt;Prefix&gt;/&lt;QMGRS&gt;配下に作られる実ディレクトリ名を決める要素であり、名称を変えると移行や復旧時にパス差分が生じるため、運用上の固定値として扱うのが安全である。</w:t>
      </w:r>
    </w:p>
    <w:p>
      <w:pPr>
        <w:spacing w:after="120"/>
      </w:pPr>
      <w:r>
        <w:t>InstallationNameは同一ホストに複数インストールを共存させる場合の識別子として機能し、インストール単位での切り替えや整合性確認を可能にするため、標準化された命名（例: Installation1の固定）でブレを抑える。</w:t>
      </w:r>
    </w:p>
    <w:p>
      <w:pPr>
        <w:spacing w:after="120"/>
      </w:pPr>
      <w:r>
        <w:t>DISPLAY QMGRで確認できるQMNAME/CCSID/MAXMSGL/SSLKEYR/CHLAUTH/CONNAUTH/CERTLABLなどの属性は、文字コード、最大メッセージ長、TLS鍵配置、チャネル認証、接続認証、証明書ラベルといった非機能要件の中核であり、設計値と実機値の差分管理が必須である。</w:t>
      </w:r>
    </w:p>
    <w:p>
      <w:pPr>
        <w:spacing w:after="120"/>
      </w:pPr>
      <w:r>
        <w:t>CCSIDの変更（例: 1208から5050への変更）はアプリ側の文字コード処理とログ解析の前提を変えるため、送受信システム間のエンコーディング合意とテストデータによる再現確認をセットで実施する。</w:t>
      </w:r>
    </w:p>
    <w:p>
      <w:pPr>
        <w:spacing w:after="120"/>
      </w:pPr>
      <w:r>
        <w:t>MAXMSGLの設計はメッセージ分割・再送・キュー滞留の挙動に影響し、過小だと業務データが送れず過大だとメモリ消費や障害時影響が増えるため、実データサイズ分布に基づく根拠ある設定が求められる。</w:t>
      </w:r>
    </w:p>
    <w:p>
      <w:pPr>
        <w:spacing w:after="120"/>
      </w:pPr>
      <w:r>
        <w:t>SSLKEYRやCERTLABLの設計はGSKitの鍵DB（.kdb）運用と直結し、証明書更新や期限切れに備えた配置規約・権限管理・手順化がないと通信断が即座に発生し得る。</w:t>
      </w:r>
    </w:p>
    <w:sectPr w:rsidR="00FC693F" w:rsidRPr="0006063C" w:rsidSect="00034616">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