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产品需求文档 (PRD)</w:t>
      </w:r>
      <w:bookmarkEnd w:id="100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文档版本</w:t>
            </w:r>
            <w:bookmarkEnd w:id="1002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修改日期</w:t>
            </w:r>
            <w:bookmarkEnd w:id="1003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修改人</w:t>
            </w:r>
            <w:bookmarkEnd w:id="1004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修改描述</w:t>
            </w:r>
            <w:bookmarkEnd w:id="100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V1.1.0</w:t>
            </w:r>
            <w:bookmarkEnd w:id="100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2026-03-26</w:t>
            </w:r>
            <w:bookmarkEnd w:id="100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产品经理</w:t>
            </w:r>
            <w:bookmarkEnd w:id="100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基于Tab形式优化多策略配置交互</w:t>
            </w:r>
            <w:bookmarkEnd w:id="100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文档概述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1.1 项目背景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，投资研究团队在进行策略分析和业绩归因时，需要手动从多个系统中查询管理人、策略、产品数据，并手动配置基准和参数。这个过程耗时耗力，且容易出错。为了提高研究效率和数据准确性，我们需要开发一个统一的参数配置与数据提取页面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1.2 项目目标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提升效率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：通过联动选择和自动填充，减少研究人员手动查找和录入数据的时间。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标准化流程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：统一数据提取的参数配置入口，确保分析口径的一致性。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灵活配置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：支持为同一管理人的不同策略配置不同的分析参数（如时间区间、基准等），并通过Tab形式优化多策略配置的用户体验。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1.3 范围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本项目将开发一个前端页面，用于收集用户选择的参数，并在提交后触发后端数据处理任务。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功能需求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 页面布局与结构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页面主要分为三个区域：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全局参数区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：用于选择管理人和最终提交的选项。</w:t>
      </w:r>
      <w:bookmarkEnd w:id="102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策略配置区 (Tab形式)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：一个Tab容器，用于为每个策略配置详细参数。</w:t>
      </w:r>
      <w:bookmarkEnd w:id="102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提交操作区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：包含输出语言、邮件通知和提交按钮。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 详细功能点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26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2.2.1 全局参数区</w:t>
      </w:r>
      <w:bookmarkEnd w:id="102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字段名称</w:t>
            </w:r>
            <w:bookmarkEnd w:id="1027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组件类型</w:t>
            </w:r>
            <w:bookmarkEnd w:id="1028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功能描述</w:t>
            </w:r>
            <w:bookmarkEnd w:id="1029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业务逻辑与校验</w:t>
            </w:r>
            <w:bookmarkEnd w:id="1030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管理人</w:t>
            </w:r>
            <w:bookmarkEnd w:id="103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搜索选择器</w:t>
            </w:r>
            <w:bookmarkEnd w:id="103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用户输入关键词，系统从后台管理人列表中搜索并展示匹配项供选择。</w:t>
            </w:r>
            <w:bookmarkEnd w:id="103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支持模糊搜索（按管理人名称、代码）。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选择后，触发“策略配置区”的初始化，并根据选中的管理人加载可选的策略列表。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此为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必填项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。</w:t>
            </w:r>
            <w:bookmarkEnd w:id="1034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35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2.2.2 策略配置区 (Tab形式)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此区域以Tab容器形式展示。用户选择“管理人”后，应至少出现一个空的策略配置Tab。用户可以点击Tab栏的“+”号来增加新的策略配置Tab。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Tab栏 (Header)</w:t>
      </w:r>
      <w:bookmarkEnd w:id="103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显示当前已添加的策略简称（例如：“策略 A”、“策略 B”）。</w:t>
      </w:r>
      <w:bookmarkEnd w:id="103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新增按钮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：Tab栏最右侧始终显示一个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号或“添加策略”按钮。</w:t>
      </w:r>
      <w:bookmarkEnd w:id="103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关闭按钮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：每个Tab标签上显示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图标，支持关闭（删除）当前策略配置。</w:t>
      </w:r>
      <w:bookmarkEnd w:id="104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Tab标题动态化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：用户在表单内选择“策略”后，Tab标题由默认的“策略1”自动更新为“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[策略名称]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”。若名称过长，显示省略号（如“股票多头策...”。</w:t>
      </w:r>
      <w:bookmarkEnd w:id="104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横向滚动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：Tab数量超过容器宽度时，Tab栏支持横向滚动。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内容区 (Body)</w:t>
      </w:r>
      <w:bookmarkEnd w:id="104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点击不同的Tab，下方内容区切换显示对应的策略详细参数。</w:t>
      </w:r>
      <w:bookmarkEnd w:id="104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内容区内的字段保持不变（是否全国代销、产品代码、时间区间等）。</w:t>
      </w:r>
      <w:bookmarkEnd w:id="1045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字段名称</w:t>
            </w:r>
            <w:bookmarkEnd w:id="1046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组件类型</w:t>
            </w:r>
            <w:bookmarkEnd w:id="1047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功能描述</w:t>
            </w:r>
            <w:bookmarkEnd w:id="1048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业务逻辑与校验</w:t>
            </w:r>
            <w:bookmarkEnd w:id="104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策略</w:t>
            </w:r>
            <w:bookmarkEnd w:id="105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下拉多选框</w:t>
            </w:r>
            <w:bookmarkEnd w:id="105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展示当前所选管理人下的所有可用策略。</w:t>
            </w:r>
            <w:bookmarkEnd w:id="105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数据源依赖于“管理人”的选择。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用户可选择一个或多个策略。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此为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必填项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。</w:t>
            </w:r>
            <w:bookmarkEnd w:id="105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是否全国代销</w:t>
            </w:r>
            <w:bookmarkEnd w:id="105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单选框组</w:t>
            </w:r>
            <w:bookmarkEnd w:id="105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选项为“是”/“否”。</w:t>
            </w:r>
            <w:bookmarkEnd w:id="105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每个策略配置Tab都需独立选择。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此为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必填项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。</w:t>
            </w:r>
            <w:bookmarkEnd w:id="105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产品代码</w:t>
            </w:r>
            <w:bookmarkEnd w:id="105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下拉选择框</w:t>
            </w:r>
            <w:bookmarkEnd w:id="105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展示符合前述条件（管理人、策略、是否全国代销）的可选产品代码。</w:t>
            </w:r>
            <w:bookmarkEnd w:id="106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数据源联动“管理人”、“策略”和“是否全国代销”。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每个策略配置Tab都需独立选择。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此为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必填项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。</w:t>
            </w:r>
            <w:bookmarkEnd w:id="106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产品名称</w:t>
            </w:r>
            <w:bookmarkEnd w:id="106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文本框</w:t>
            </w:r>
            <w:bookmarkEnd w:id="106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显示当前所选“产品代码”对应的产品全称。</w:t>
            </w:r>
            <w:bookmarkEnd w:id="106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根据“产品代码”的选择自动填充。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此字段为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只读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，不可编辑。</w:t>
            </w:r>
            <w:bookmarkEnd w:id="106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使用排排数据</w:t>
            </w:r>
            <w:bookmarkEnd w:id="106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单选框组</w:t>
            </w:r>
            <w:bookmarkEnd w:id="106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选项为“是”/“否”。</w:t>
            </w:r>
            <w:bookmarkEnd w:id="106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每个策略配置Tab都需独立选择。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此为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必填项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。</w:t>
            </w:r>
            <w:bookmarkEnd w:id="106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时间区间</w:t>
            </w:r>
            <w:bookmarkEnd w:id="107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日期范围选择器</w:t>
            </w:r>
            <w:bookmarkEnd w:id="107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用户选择分析的起始日期和结束日期。</w:t>
            </w:r>
            <w:bookmarkEnd w:id="107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每个策略配置Tab都需独立选择。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结束日期不能早于起始日期。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此为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必填项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。</w:t>
            </w:r>
            <w:bookmarkEnd w:id="107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固定收益</w:t>
            </w:r>
            <w:bookmarkEnd w:id="107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数字输入框</w:t>
            </w:r>
            <w:bookmarkEnd w:id="107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用户输入一个数字，代表固定收益率。</w:t>
            </w:r>
            <w:bookmarkEnd w:id="107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单位为 %，输入框后可增加“%”文本提示。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每个策略配置Tab都需独立填写。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校验：必须为大于等于0的数字，最多保留两位小数。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4. 此为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必填项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。</w:t>
            </w:r>
            <w:bookmarkEnd w:id="107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基准名称</w:t>
            </w:r>
            <w:bookmarkEnd w:id="107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动态列表</w:t>
            </w:r>
            <w:bookmarkEnd w:id="107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允许用户添加一个或多个基准，并为每个基准设定权重。</w:t>
            </w:r>
            <w:bookmarkEnd w:id="108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每个策略配置Tab都需独立配置。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点击“+ 添加基准”可新增一行，包含“基准名称”输入框和“比例”输入框。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3. 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基准名称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：可手动输入或通过搜索选择器选择。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4. 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比例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：输入数字，代表权重（如80代表80%）。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5. 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校验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：同一策略配置Tab内，所有基准的比例之和必须等于100。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6. 此为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必填项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，且至少添加一个基准。</w:t>
            </w:r>
            <w:bookmarkEnd w:id="108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Tab交互逻辑</w:t>
      </w:r>
      <w:bookmarkEnd w:id="108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：页面加载或选择“管理人”后，默认创建一个空的Tab（标题默认为“策略1”），内容区显示该Tab的配置表单。</w:t>
      </w:r>
      <w:bookmarkEnd w:id="108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新增策略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：点击Tab栏的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号，新增一个Tab，标题默认为“策略N”，自动切换到新Tab，新Tab内的表单初始化为空，需重新选择策略。</w:t>
      </w:r>
      <w:bookmarkEnd w:id="108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删除策略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：点击Tab标签上的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号，弹出二次确认框：“确定要删除当前策略配置吗？”，确认后移除该Tab及对应数据。若删除后还有其他Tab，自动激活左侧相邻的Tab。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限制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：至少保留一个Tab，不可全部删除。</w:t>
      </w:r>
      <w:bookmarkEnd w:id="108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切换Tab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：点击不同的Tab标签，保存当前Tab已填写的数据（暂存于内存），渲染目标Tab的数据和表单状态。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87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2.2.3 提交操作区</w:t>
      </w:r>
      <w:bookmarkEnd w:id="1087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字段名称</w:t>
            </w:r>
            <w:bookmarkEnd w:id="1088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组件类型</w:t>
            </w:r>
            <w:bookmarkEnd w:id="1089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功能描述</w:t>
            </w:r>
            <w:bookmarkEnd w:id="1090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业务逻辑与校验</w:t>
            </w:r>
            <w:bookmarkEnd w:id="109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输出语言</w:t>
            </w:r>
            <w:bookmarkEnd w:id="109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单选框组</w:t>
            </w:r>
            <w:bookmarkEnd w:id="109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选项为“中文”/“英语”。</w:t>
            </w:r>
            <w:bookmarkEnd w:id="109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用于决定最终生成报告的语言。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默认选中“中文”。</w:t>
            </w:r>
            <w:bookmarkEnd w:id="109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是否发送邮件</w:t>
            </w:r>
            <w:bookmarkEnd w:id="109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单选框组</w:t>
            </w:r>
            <w:bookmarkEnd w:id="109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选项为“是”/“否”。</w:t>
            </w:r>
            <w:bookmarkEnd w:id="109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选择“是”时，下方可展开一个邮件地址输入框（非本次核心需求，可预留）。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默认选中“否”。</w:t>
            </w:r>
            <w:bookmarkEnd w:id="109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提交</w:t>
            </w:r>
            <w:bookmarkEnd w:id="110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按钮</w:t>
            </w:r>
            <w:bookmarkEnd w:id="110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点击后，提交所有参数至后端。</w:t>
            </w:r>
            <w:bookmarkEnd w:id="110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 点击前，前端需对所有必填项进行校验。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 校验失败时，高亮显示错误字段并给出明确提示。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 校验成功后，按钮应变为“处理中...”状态并禁用，防止重复提交。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4. 提交成功后，跳转到结果页或给出成功提示。</w:t>
            </w:r>
            <w:bookmarkEnd w:id="110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业务流程与逻辑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 数据联动关系</w:t>
      </w:r>
      <w:bookmarkEnd w:id="110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选择【管理人】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加载该管理人下的【策略】列表。</w:t>
      </w:r>
      <w:bookmarkEnd w:id="110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选择【策略】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【是否全国代销】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加载符合条件的【产品代码】列表。</w:t>
      </w:r>
      <w:bookmarkEnd w:id="110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选择【产品代码】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自动填充【产品名称】。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 提交流程</w:t>
      </w:r>
      <w:bookmarkEnd w:id="110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用户填写/选择所有必填参数。</w:t>
      </w:r>
      <w:bookmarkEnd w:id="111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用户点击【提交】按钮。</w:t>
      </w:r>
      <w:bookmarkEnd w:id="111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前端进行数据完整性校验。</w:t>
      </w:r>
      <w:bookmarkEnd w:id="111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校验通过后，前端将所有数据组装成JSON格式，发送至后端API。</w:t>
      </w:r>
      <w:bookmarkEnd w:id="111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后端接收数据，开始处理任务。</w:t>
      </w:r>
      <w:bookmarkEnd w:id="111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前端根据后端返回结果，展示成功或失败的提示信息。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提交时的逻辑变化</w:t>
      </w:r>
      <w:bookmarkEnd w:id="111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遍历提交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：点击底部的“提交”按钮时，系统需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遍历所有打开的Tab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1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全局校验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8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任意一个Tab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内的数据未填写完整（如某策略未选产品代码，或基准比例不等于100%），提交应被拦截。</w:t>
      </w:r>
      <w:bookmarkEnd w:id="1119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交互反馈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：自动跳转到第一个校验失败的Tab，并高亮错误字段，提示用户“第N个策略配置有误”。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非功能性需求</w:t>
      </w:r>
      <w:bookmarkEnd w:id="112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：搜索管理人、加载策略和产品代码的接口响应时间应在2秒以内。</w:t>
      </w:r>
      <w:bookmarkEnd w:id="112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易用性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：界面布局清晰，操作流程符合用户直觉。对于复杂的联动和校验，应有明确的视觉提示。</w:t>
      </w:r>
      <w:bookmarkEnd w:id="112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数据准确性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：所有下拉框的数据源必须准确无误，并与后台数据库保持同步。</w:t>
      </w:r>
      <w:bookmarkEnd w:id="112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兼容性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：页面需兼容主流浏览器（Chrome, Firefox, Edge, Safari）的最新版本。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 数据接口需求（示例）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 提交参数数据结构 (JSON)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 验收标准</w:t>
      </w:r>
      <w:bookmarkEnd w:id="112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管理人选择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：能够正确搜索并选择管理人。</w:t>
      </w:r>
      <w:bookmarkEnd w:id="112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策略联动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：选择管理人后，策略下拉框能正确加载该管理人的策略。</w:t>
      </w:r>
      <w:bookmarkEnd w:id="113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产品联动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：选择策略和是否全国代销后，产品代码下拉框能正确加载。</w:t>
      </w:r>
      <w:bookmarkEnd w:id="113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产品名称填充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：选择产品代码后，产品名称自动正确显示且不可编辑。</w:t>
      </w:r>
      <w:bookmarkEnd w:id="113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多策略配置 (Tab)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：能够成功添加和删除多个策略配置Tab。</w:t>
      </w:r>
      <w:bookmarkEnd w:id="113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基准比例校验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：当单个策略配置Tab的基准比例之和不等于100时，提交按钮应被禁用或点击后给出明确错误提示。</w:t>
      </w:r>
      <w:bookmarkEnd w:id="113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数据提交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：点击提交后，所有填写的数据能被正确发送至后端，且数据格式符合接口定义。</w:t>
      </w:r>
      <w:bookmarkEnd w:id="113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UI/UX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：页面布局、交互和提示符合设计稿要求。</w:t>
      </w:r>
      <w:bookmarkEnd w:id="113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2026-03-26T05:51:43Z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qTFjV3EuxvuJWUpjGK6pSNgzb5u6KJHU8igkSkMRgU=","ProduceID":"doc_sgs:40ae0c09-b9e5-4aff-8cb7-5ad75f0a751e","ReservedCode2":"7qTFjV3EuxvuJWUpjGK6pSNgzb5u6KJHU8igkSkMRgU=","PropagateID":"doc_sgs:40ae0c09-b9e5-4aff-8cb7-5ad75f0a751e","ContentProducer":"001191440101MA9Y9T4H7A00000"}</vt:lpwstr>
  </property>
</Properties>
</file>