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snapToGrid w:val="1"/>
        <w:spacing w:line="240"/>
        <w:jc w:val="left"/>
        <w:rPr>
          <w:color w:val="333333"/>
          <w:shd w:val="clear" w:color="auto" w:fill="auto"/>
        </w:rPr>
      </w:pPr>
      <w:r>
        <w:rPr>
          <w:color w:val="333333"/>
          <w:shd w:val="clear" w:color="auto" w:fill="auto"/>
        </w:rPr>
        <w:t>客户面板</w:t>
      </w:r>
    </w:p>
    <w:p>
      <w:pPr>
        <w:pBdr/>
        <w:snapToGrid w:val="1"/>
        <w:spacing w:line="240" w:lineRule="auto"/>
        <w:rPr>
          <w:b w:val="1"/>
          <w:color w:val="333333"/>
          <w:sz w:val="30"/>
          <w:shd w:val="clear" w:color="auto" w:fill="auto"/>
        </w:rPr>
      </w:pPr>
    </w:p>
    <w:p>
      <w:pPr>
        <w:pStyle w:val="w5vnkq"/>
        <w:rPr/>
      </w:pPr>
      <w:r>
        <w:rPr/>
        <w:t>2024.2.1 新增（张宇）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1：基础信息中：两个字段“客户类型“ "客户风险等级”带到 "可选服务"里；在可选服务里不可编辑；（所有TAB）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         “客户风险等级”改为单选，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          可选:</w:t>
      </w:r>
      <w:r>
        <w:rPr>
          <w:i w:val="0"/>
          <w:strike w:val="0"/>
          <w:spacing w:val="0"/>
          <w:sz w:val="24"/>
          <w:u w:val="none"/>
        </w:rPr>
        <w:t>C1(保守型)、C2(谨慎型)、C3(稳健型)、C4 (积极型)、C5(激进型);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          风险等级需要限制；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          限制：如果客户是C4及以下的，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  类型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      方案类型=“精选方案”时   “细分类型”只能选择“精选方案-保守型“、“稳健型“、“单策略-固收“、“单策略-对冲套利“，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         “ </w:t>
      </w: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客户希望获取的收益水平</w:t>
      </w: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”只能选择“3-5%“，“6-10%“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          "</w:t>
      </w: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客户可承受的最大损失水</w:t>
      </w: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·</w:t>
      </w: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平</w:t>
      </w: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"只能选择”2-4%”，“4-6%“其他灰掉；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          不和  方案类型=“订制方案”挂钩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  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2：基础信息中：去掉：“是否超高客私客尊享服务签约”（包括个人和机构）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 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3：基础信息中：新增“是否上市公司实控人或股东的一致行动人”“是 否”（包括个人和机构）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 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4：客户参与类型：改名为【是否需要接受投资方案告知，选择“是，否”】原来的全委=否，客需=是；(需后端刷库)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4.1当  是否需要接受投资方案告知 =否 ，显示“方案类型”和“细分类型”字段；=是 时，隐藏两个字段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4.2当 是否配置衍生品=是 且 比例 =100%时，是否需要接受投资方案告知默认=否，且不能修改； (可能需要后端刷库)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 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4.3当  是否需要接受投资方案告知 =否 时，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         “方案类型”仅可选“精选方案”和“订制方案”，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</w:p>
    <w:p>
      <w:pPr>
        <w:pBdr/>
        <w:snapToGrid w:val="1"/>
        <w:spacing w:before="0" w:after="0" w:line="276" w:lineRule="auto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         “细分类型”与之前联动逻辑一样：</w:t>
      </w:r>
    </w:p>
    <w:p>
      <w:pPr>
        <w:pBdr/>
        <w:snapToGrid w:val="1"/>
        <w:spacing w:before="0" w:after="0" w:line="276" w:lineRule="auto"/>
        <w:ind w:left="0" w:right="0"/>
        <w:rPr>
          <w:i w:val="0"/>
          <w:strike w:val="0"/>
          <w:color w:val="333333"/>
          <w:spacing w:val="0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         方案类型=精选方案 时，细分类型可选：</w:t>
      </w:r>
      <w:r>
        <w:rPr>
          <w:i w:val="0"/>
          <w:strike w:val="0"/>
          <w:color w:val="333333"/>
          <w:spacing w:val="0"/>
          <w:sz w:val="24"/>
          <w:u w:val="none"/>
          <w:shd w:val="clear" w:color="auto" w:fill="auto"/>
        </w:rPr>
        <w:t>多策略-保守、多策略-平衡、多策略-稳健、多策略-积极、单策略-固收、单策略-对冲套利、单策略-CTA、单策略-股多、单策略-指数增强、单策略-可转债；单选；</w:t>
      </w:r>
    </w:p>
    <w:p>
      <w:pPr>
        <w:pBdr/>
        <w:snapToGrid w:val="1"/>
        <w:spacing w:before="0" w:after="0" w:line="276" w:lineRule="auto"/>
        <w:ind w:left="0" w:right="0"/>
        <w:rPr>
          <w:rFonts w:ascii="" w:hAnsi="" w:eastAsia="" w:cs=""/>
          <w:i w:val="0"/>
          <w:strike w:val="0"/>
          <w:color w:val="333333"/>
          <w:spacing w:val="0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pacing w:val="0"/>
          <w:sz w:val="24"/>
          <w:u w:val="none"/>
          <w:shd w:val="clear" w:color="auto" w:fill="auto"/>
        </w:rPr>
        <w:t xml:space="preserve"> </w:t>
      </w:r>
    </w:p>
    <w:p>
      <w:pPr>
        <w:snapToGrid w:val="1"/>
        <w:spacing w:before="0" w:after="0" w:line="276" w:lineRule="auto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pacing w:val="0"/>
          <w:sz w:val="24"/>
          <w:u w:val="none"/>
          <w:shd w:val="clear" w:color="auto" w:fill="auto"/>
        </w:rPr>
        <w:t xml:space="preserve">                </w:t>
      </w: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方案类型=订制方案 时，细分类型可选：</w:t>
      </w:r>
      <w:r>
        <w:rPr>
          <w:i w:val="0"/>
          <w:strike w:val="0"/>
          <w:color w:val="333333"/>
          <w:spacing w:val="0"/>
          <w:sz w:val="24"/>
          <w:u w:val="none"/>
          <w:shd w:val="clear" w:color="auto" w:fill="auto"/>
        </w:rPr>
        <w:t>有投资建议；</w:t>
      </w:r>
    </w:p>
    <w:p>
      <w:pPr>
        <w:snapToGrid w:val="1"/>
        <w:spacing w:before="0" w:after="0" w:line="276" w:lineRule="auto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 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4.4当  是否需要接受投资方案告知=否 时，”导出方案“置灰或者最好不展示；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4.5当  是否需要接受投资方案告知=否  方案类型=精选方案，不显示方案建议书；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4.6 当   是否需要接受投资方案告知=否  方案类型=订制方案，显示方案建议书；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</w:p>
    <w:p>
      <w:pPr>
        <w:numPr/>
        <w:pBdr>
          <w:bottom/>
        </w:pBdr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color w:val="333333"/>
          <w:sz w:val="24"/>
          <w:shd w:val="clear" w:color="auto" w:fill="auto"/>
        </w:rPr>
        <w:t xml:space="preserve">    4.7  </w:t>
      </w: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当   是否需要接受投资方案告知=是 ，显示方案建议书；</w:t>
      </w:r>
    </w:p>
    <w:p>
      <w:pPr>
        <w:pBdr>
          <w:bottom/>
        </w:pBdr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5：去掉“投资经理”“衍生品投资经理”两个字段；（面板所有地方）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 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6：字段“预期收益”改名为“客户希望获取的收益水平”；(需后端刷库)</w:t>
      </w:r>
    </w:p>
    <w:p>
      <w:pPr>
        <w:pStyle w:val="ablt93"/>
        <w:pBdr/>
        <w:rPr>
          <w:b w:val="1"/>
        </w:rPr>
      </w:pPr>
      <w:r>
        <w:rPr>
          <w:b w:val="1"/>
        </w:rPr>
        <w:t> 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7：字段“最大回撤区间”改名为“客户可承受的最大损失水平“(需后端刷库)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 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8：字段“细分类型”中去掉选项“客户方案、客户参与、分公司参与、客户经理参与”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 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9：页面按键“提交方案”改名为“提交需求”；“导出方案”改名为“需求预览”；(hq)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 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10：”股份管理“中新增字段：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    10.1  新增字段“是否需要接受投资方案告知”默认=否，不可修改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    10.2  新增字段 “方案类型”默认= 订制方案；，不可修改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 xml:space="preserve">         10.2  新增字段 “细分类型” 默认=有投资建议，不可修改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11: 全局"定制"改为"订制"(需后端刷库)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</w:p>
    <w:p>
      <w:pPr>
        <w:pStyle w:val="w5vnkq"/>
        <w:rPr/>
      </w:pPr>
      <w:r>
        <w:rPr/>
        <w:t>2024.2.20：新增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12：基本信息中新增字段：客户邮箱</w:t>
      </w:r>
    </w:p>
    <w:p>
      <w:pPr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</w:p>
    <w:p>
      <w:pPr>
        <w:snapToGrid w:val="1"/>
        <w:spacing w:before="0" w:after="0" w:line="240"/>
        <w:ind w:left="0" w:right="0"/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13：基本</w:t>
      </w: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信息中新增字段：手机号</w:t>
      </w:r>
    </w:p>
    <w:p>
      <w:pPr>
        <w:pBdr/>
        <w:snapToGrid w:val="1"/>
        <w:spacing w:line="240" w:lineRule="auto"/>
        <w:rPr>
          <w:b w:val="1"/>
          <w:color w:val="333333"/>
          <w:sz w:val="30"/>
          <w:shd w:val="clear" w:color="auto" w:fill="auto"/>
        </w:rPr>
      </w:pPr>
    </w:p>
    <w:p>
      <w:pPr>
        <w:pBdr/>
        <w:snapToGrid w:val="1"/>
        <w:spacing w:line="240" w:lineRule="auto"/>
        <w:rPr>
          <w:b w:val="1"/>
          <w:color w:val="333333"/>
          <w:sz w:val="28"/>
          <w:shd w:val="clear" w:color="auto" w:fill="auto"/>
        </w:rPr>
      </w:pPr>
      <w:r>
        <w:rPr>
          <w:b w:val="0"/>
          <w:color w:val="333333"/>
          <w:sz w:val="24"/>
          <w:shd w:val="clear" w:color="auto" w:fill="auto"/>
        </w:rPr>
        <w:t>14：资产配置、市值服务（</w:t>
      </w:r>
      <w:r>
        <w:rPr>
          <w:b w:val="0"/>
          <w:color w:val="333333"/>
          <w:sz w:val="24"/>
          <w:shd w:val="clear" w:color="auto" w:fill="auto"/>
        </w:rPr>
        <w:t>现</w:t>
      </w:r>
      <w:r>
        <w:rPr>
          <w:b w:val="0"/>
          <w:color w:val="333333"/>
          <w:sz w:val="24"/>
          <w:shd w:val="clear" w:color="auto" w:fill="auto"/>
        </w:rPr>
        <w:t>股份管理）、</w:t>
      </w:r>
      <w:r>
        <w:rPr>
          <w:b w:val="1"/>
          <w:color w:val="333333"/>
          <w:sz w:val="24"/>
          <w:shd w:val="clear" w:color="auto" w:fill="auto"/>
        </w:rPr>
        <w:t>新增</w:t>
      </w:r>
      <w:r>
        <w:rPr>
          <w:b w:val="0"/>
          <w:color w:val="333333"/>
          <w:sz w:val="24"/>
          <w:shd w:val="clear" w:color="auto" w:fill="auto"/>
        </w:rPr>
        <w:t>字段：“</w:t>
      </w:r>
      <w:r>
        <w:rPr>
          <w:i w:val="0"/>
          <w:strike w:val="0"/>
          <w:spacing w:val="0"/>
          <w:sz w:val="24"/>
          <w:u w:val="none"/>
        </w:rPr>
        <w:t>是否投资海外非货币资产“ 选择“是/否”；</w:t>
      </w:r>
    </w:p>
    <w:p>
      <w:pPr>
        <w:pBdr/>
        <w:snapToGrid w:val="1"/>
        <w:spacing w:line="240" w:lineRule="auto"/>
        <w:rPr>
          <w:b w:val="1"/>
          <w:color w:val="333333"/>
          <w:sz w:val="30"/>
          <w:shd w:val="clear" w:color="auto" w:fill="auto"/>
        </w:rPr>
      </w:pPr>
    </w:p>
    <w:p>
      <w:pPr>
        <w:numPr/>
        <w:pBdr/>
        <w:snapToGrid w:val="1"/>
        <w:spacing w:line="240" w:lineRule="auto"/>
        <w:rPr>
          <w:b w:val="1"/>
          <w:color w:val="333333"/>
          <w:sz w:val="28"/>
          <w:shd w:val="clear" w:color="auto" w:fill="auto"/>
        </w:rPr>
      </w:pPr>
      <w:r>
        <w:rPr>
          <w:b w:val="0"/>
          <w:color w:val="333333"/>
          <w:sz w:val="24"/>
          <w:shd w:val="clear" w:color="auto" w:fill="auto"/>
        </w:rPr>
        <w:t>15：资产配置、市值服务（</w:t>
      </w:r>
      <w:r>
        <w:rPr>
          <w:b w:val="0"/>
          <w:color w:val="333333"/>
          <w:sz w:val="24"/>
          <w:shd w:val="clear" w:color="auto" w:fill="auto"/>
        </w:rPr>
        <w:t>现</w:t>
      </w:r>
      <w:r>
        <w:rPr>
          <w:b w:val="0"/>
          <w:color w:val="333333"/>
          <w:sz w:val="24"/>
          <w:shd w:val="clear" w:color="auto" w:fill="auto"/>
        </w:rPr>
        <w:t>股份管理）、</w:t>
      </w:r>
      <w:r>
        <w:rPr>
          <w:b w:val="1"/>
          <w:color w:val="333333"/>
          <w:sz w:val="24"/>
          <w:shd w:val="clear" w:color="auto" w:fill="auto"/>
        </w:rPr>
        <w:t>新增</w:t>
      </w:r>
      <w:r>
        <w:rPr>
          <w:b w:val="0"/>
          <w:color w:val="333333"/>
          <w:sz w:val="24"/>
          <w:shd w:val="clear" w:color="auto" w:fill="auto"/>
        </w:rPr>
        <w:t xml:space="preserve">字段：“是否有本金保障需求“ </w:t>
      </w:r>
      <w:r>
        <w:rPr>
          <w:i w:val="0"/>
          <w:strike w:val="0"/>
          <w:spacing w:val="0"/>
          <w:sz w:val="24"/>
          <w:u w:val="none"/>
        </w:rPr>
        <w:t>“ 选择“是/否”；</w:t>
      </w:r>
    </w:p>
    <w:p>
      <w:pPr>
        <w:pBdr/>
        <w:snapToGrid w:val="1"/>
        <w:spacing w:line="240" w:lineRule="auto"/>
        <w:rPr>
          <w:b w:val="0"/>
          <w:color w:val="333333"/>
          <w:sz w:val="24"/>
          <w:shd w:val="clear" w:color="auto" w:fill="auto"/>
        </w:rPr>
      </w:pPr>
    </w:p>
    <w:p>
      <w:pPr>
        <w:pBdr/>
        <w:snapToGrid w:val="1"/>
        <w:spacing w:line="240" w:lineRule="auto"/>
        <w:rPr>
          <w:b w:val="1"/>
          <w:color w:val="333333"/>
          <w:sz w:val="30"/>
          <w:shd w:val="clear" w:color="auto" w:fill="auto"/>
        </w:rPr>
      </w:pPr>
    </w:p>
    <w:p>
      <w:pPr>
        <w:pBdr/>
        <w:snapToGrid w:val="1"/>
        <w:spacing w:line="240" w:lineRule="auto"/>
        <w:rPr>
          <w:b w:val="1"/>
          <w:color w:val="333333"/>
          <w:sz w:val="30"/>
          <w:shd w:val="clear" w:color="auto" w:fill="auto"/>
        </w:rPr>
      </w:pPr>
    </w:p>
    <w:p>
      <w:pPr>
        <w:pBdr/>
        <w:snapToGrid w:val="1"/>
        <w:spacing w:line="240" w:lineRule="auto"/>
        <w:rPr>
          <w:b w:val="1"/>
          <w:color w:val="333333"/>
          <w:sz w:val="30"/>
          <w:shd w:val="clear" w:color="auto" w:fill="auto"/>
        </w:rPr>
      </w:pPr>
    </w:p>
    <w:p>
      <w:pPr>
        <w:pBdr/>
        <w:snapToGrid w:val="1"/>
        <w:spacing w:line="240" w:lineRule="auto"/>
        <w:rPr>
          <w:b w:val="1"/>
          <w:color w:val="333333"/>
          <w:sz w:val="30"/>
          <w:shd w:val="clear" w:color="auto" w:fill="auto"/>
        </w:rPr>
      </w:pPr>
    </w:p>
    <w:p>
      <w:pPr>
        <w:pBdr/>
        <w:snapToGrid w:val="1"/>
        <w:spacing w:line="240" w:lineRule="auto"/>
        <w:rPr>
          <w:b w:val="1"/>
          <w:color w:val="333333"/>
          <w:sz w:val="30"/>
          <w:shd w:val="clear" w:color="auto" w:fill="auto"/>
        </w:rPr>
      </w:pPr>
      <w:r>
        <w:rPr>
          <w:b w:val="1"/>
          <w:color w:val="333333"/>
          <w:sz w:val="30"/>
          <w:shd w:val="clear" w:color="auto" w:fill="auto"/>
        </w:rPr>
        <w:t>方案建议书：改名为“</w:t>
      </w:r>
      <w:r>
        <w:rPr>
          <w:b w:val="1"/>
          <w:i w:val="0"/>
          <w:strike w:val="0"/>
          <w:color w:val="333333"/>
          <w:spacing w:val="0"/>
          <w:sz w:val="30"/>
          <w:u w:val="none"/>
          <w:shd w:val="clear" w:color="auto" w:fill="auto"/>
        </w:rPr>
        <w:t>您的配置偏好”</w:t>
      </w:r>
      <w:r>
        <w:rPr>
          <w:rFonts w:ascii="" w:hAnsi="" w:eastAsia="" w:cs=""/>
          <w:i w:val="0"/>
          <w:strike w:val="0"/>
          <w:color w:val="333333"/>
          <w:sz w:val="24"/>
          <w:u w:val="none"/>
          <w:shd w:val="clear" w:color="auto" w:fill="auto"/>
        </w:rPr>
        <w:t>(需后端刷库)</w:t>
      </w:r>
    </w:p>
    <w:p>
      <w:pPr>
        <w:pBdr/>
        <w:snapToGrid w:val="1"/>
        <w:spacing w:line="240" w:lineRule="auto"/>
        <w:rPr>
          <w:b w:val="1"/>
          <w:color w:val="333333"/>
          <w:sz w:val="30"/>
          <w:shd w:val="clear" w:color="auto" w:fill="auto"/>
        </w:rPr>
      </w:pP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  <w:r>
        <w:rPr>
          <w:rFonts w:ascii="" w:hAnsi="" w:eastAsia="" w:cs=""/>
          <w:color w:val="333333"/>
          <w:sz w:val="24"/>
          <w:shd w:val="clear" w:color="auto" w:fill="auto"/>
        </w:rPr>
        <w:t>1：目前全委不可“导出方案”，只能“提交方案”，提交方案需保存方案参数，需传给客需流程；(后端)</w:t>
      </w: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</w:p>
    <w:p>
      <w:pPr>
        <w:pBdr/>
        <w:snapToGrid w:val="1"/>
        <w:spacing w:before="0" w:after="0" w:line="240"/>
        <w:ind w:left="0" w:right="0"/>
        <w:rPr>
          <w:rFonts w:ascii="" w:hAnsi="" w:eastAsia="" w:cs=""/>
          <w:color w:val="333333"/>
          <w:sz w:val="24"/>
          <w:shd w:val="clear" w:color="auto" w:fill="auto"/>
        </w:rPr>
      </w:pPr>
    </w:p>
    <w:p>
      <w:pPr>
        <w:pBdr>
          <w:bottom/>
        </w:pBdr>
        <w:snapToGrid w:val="1"/>
        <w:spacing w:before="0" w:after="0" w:line="240"/>
        <w:ind w:left="0" w:right="0"/>
        <w:rPr>
          <w:rFonts w:ascii="" w:hAnsi="" w:eastAsia="" w:cs=""/>
          <w:b w:val="1"/>
          <w:color w:val="333333"/>
          <w:sz w:val="28"/>
          <w:shd w:val="clear" w:color="auto" w:fill="auto"/>
        </w:rPr>
      </w:pPr>
      <w:r>
        <w:rPr>
          <w:rFonts w:ascii="" w:hAnsi="" w:eastAsia="" w:cs=""/>
          <w:b w:val="1"/>
          <w:color w:val="333333"/>
          <w:sz w:val="28"/>
          <w:shd w:val="clear" w:color="auto" w:fill="auto"/>
        </w:rPr>
        <w:br w:type="page"/>
      </w:r>
    </w:p>
    <w:p>
      <w:pPr>
        <w:pStyle w:val="w5vnkq"/>
        <w:rPr/>
      </w:pPr>
      <w:r>
        <w:rPr/>
        <w:t>2024.5.14 龙菊舒（衍生品部分）</w:t>
      </w:r>
    </w:p>
    <w:p>
      <w:pPr>
        <w:pBdr/>
        <w:snapToGrid w:val="1"/>
        <w:spacing w:before="0" w:after="0" w:line="360" w:lineRule="auto"/>
        <w:ind w:left="0" w:right="0"/>
        <w:rPr>
          <w:rFonts w:ascii="" w:hAnsi="" w:eastAsia="" w:cs=""/>
          <w:color w:val="333333"/>
          <w:sz w:val="22"/>
          <w:shd w:val="clear" w:color="auto" w:fill="auto"/>
        </w:rPr>
      </w:pPr>
      <w:r>
        <w:rPr>
          <w:rFonts w:ascii="" w:hAnsi="" w:eastAsia="" w:cs=""/>
          <w:color w:val="333333"/>
          <w:sz w:val="22"/>
          <w:shd w:val="clear" w:color="auto" w:fill="auto"/>
        </w:rPr>
        <w:t>1：“是否拟配置衍生品”，改为都可填； “衍生品服务”部分默认不展示，；</w:t>
      </w:r>
    </w:p>
    <w:p>
      <w:pPr>
        <w:pBdr/>
        <w:snapToGrid w:val="1"/>
        <w:spacing w:before="0" w:after="0" w:line="360" w:lineRule="auto"/>
        <w:ind w:left="0" w:right="0"/>
        <w:rPr>
          <w:rFonts w:ascii="" w:hAnsi="" w:eastAsia="" w:cs=""/>
          <w:color w:val="333333"/>
          <w:sz w:val="22"/>
          <w:shd w:val="clear" w:color="auto" w:fill="auto"/>
        </w:rPr>
      </w:pPr>
    </w:p>
    <w:p>
      <w:pPr>
        <w:pBdr/>
        <w:snapToGrid w:val="1"/>
        <w:spacing w:before="0" w:after="0" w:line="360" w:lineRule="auto"/>
        <w:ind w:left="0" w:right="0"/>
        <w:rPr>
          <w:rFonts w:ascii="" w:hAnsi="" w:eastAsia="" w:cs=""/>
          <w:b w:val="1"/>
          <w:color w:val="333333"/>
          <w:sz w:val="22"/>
          <w:shd w:val="clear" w:color="auto" w:fill="auto"/>
        </w:rPr>
      </w:pPr>
      <w:r>
        <w:rPr>
          <w:rFonts w:ascii="" w:hAnsi="" w:eastAsia="" w:cs=""/>
          <w:color w:val="333333"/>
          <w:sz w:val="22"/>
          <w:shd w:val="clear" w:color="auto" w:fill="auto"/>
        </w:rPr>
        <w:t>2：“参与形式” 新增2个可选项：“收益凭证（非本金保障）”、“收益凭证（本金保障）”；</w:t>
      </w:r>
      <w:r>
        <w:rPr>
          <w:rFonts w:ascii="" w:hAnsi="" w:eastAsia="" w:cs=""/>
          <w:b w:val="1"/>
          <w:color w:val="333333"/>
          <w:sz w:val="22"/>
          <w:shd w:val="clear" w:color="auto" w:fill="auto"/>
        </w:rPr>
        <w:t>改为多选；</w:t>
      </w:r>
      <w:r>
        <w:rPr>
          <w:rFonts w:ascii="" w:hAnsi="" w:eastAsia="" w:cs=""/>
          <w:b w:val="1"/>
          <w:color w:val="333333"/>
          <w:sz w:val="22"/>
          <w:shd w:val="clear" w:color="auto" w:fill="auto"/>
        </w:rPr>
        <w:t xml:space="preserve"> </w:t>
      </w:r>
    </w:p>
    <w:p>
      <w:pPr>
        <w:pBdr>
          <w:bottom/>
        </w:pBdr>
        <w:snapToGrid w:val="1"/>
        <w:spacing w:before="0" w:after="0" w:line="360" w:lineRule="auto"/>
        <w:ind w:left="0" w:right="0"/>
        <w:rPr>
          <w:rFonts w:ascii="" w:hAnsi="" w:eastAsia="" w:cs=""/>
          <w:b w:val="1"/>
          <w:color w:val="333333"/>
          <w:sz w:val="22"/>
          <w:shd w:val="clear" w:color="auto" w:fill="auto"/>
        </w:rPr>
      </w:pPr>
    </w:p>
    <w:p>
      <w:pPr>
        <w:pBdr/>
        <w:snapToGrid w:val="1"/>
        <w:spacing w:before="0" w:after="0" w:line="360" w:lineRule="auto"/>
        <w:ind w:left="0" w:right="0"/>
        <w:rPr>
          <w:rFonts w:ascii="" w:hAnsi="" w:eastAsia="" w:cs=""/>
          <w:color w:val="333333"/>
          <w:sz w:val="22"/>
          <w:shd w:val="clear" w:color="auto" w:fill="auto"/>
        </w:rPr>
      </w:pPr>
      <w:r>
        <w:rPr>
          <w:rFonts w:ascii="" w:hAnsi="" w:eastAsia="" w:cs=""/>
          <w:color w:val="333333"/>
          <w:sz w:val="22"/>
          <w:shd w:val="clear" w:color="auto" w:fill="auto"/>
        </w:rPr>
        <w:t>3：专业投资者控制 “参与形式” 选填项：专业投资者4个都可以选，非专业投资者只能选“收益凭证（本金保障）”；</w:t>
      </w:r>
    </w:p>
    <w:p>
      <w:pPr>
        <w:pBdr/>
        <w:snapToGrid w:val="1"/>
        <w:spacing w:before="0" w:after="0" w:line="360" w:lineRule="auto"/>
        <w:ind w:left="0" w:right="0"/>
        <w:rPr>
          <w:rFonts w:ascii="" w:hAnsi="" w:eastAsia="" w:cs=""/>
          <w:color w:val="333333"/>
          <w:sz w:val="22"/>
          <w:shd w:val="clear" w:color="auto" w:fill="auto"/>
        </w:rPr>
      </w:pPr>
    </w:p>
    <w:p>
      <w:pPr>
        <w:pBdr/>
        <w:snapToGrid w:val="1"/>
        <w:spacing w:before="0" w:after="0" w:line="360" w:lineRule="auto"/>
        <w:ind w:left="0" w:right="0"/>
        <w:rPr>
          <w:rFonts w:ascii="" w:hAnsi="" w:eastAsia="" w:cs=""/>
          <w:color w:val="333333"/>
          <w:sz w:val="22"/>
          <w:shd w:val="clear" w:color="auto" w:fill="auto"/>
        </w:rPr>
      </w:pPr>
      <w:r>
        <w:rPr>
          <w:rFonts w:ascii="" w:hAnsi="" w:eastAsia="" w:cs=""/>
          <w:color w:val="333333"/>
          <w:sz w:val="22"/>
          <w:shd w:val="clear" w:color="auto" w:fill="auto"/>
        </w:rPr>
        <w:t>4：如果“参与形式”中选择包括（收益互换、场外期权、收益凭证非本金保证）之一，“证明材料”都为必传；</w:t>
      </w:r>
    </w:p>
    <w:p>
      <w:pPr>
        <w:pBdr/>
        <w:snapToGrid w:val="1"/>
        <w:spacing w:before="0" w:after="0" w:line="360" w:lineRule="auto"/>
        <w:ind w:left="0" w:right="0"/>
        <w:rPr>
          <w:rFonts w:ascii="" w:hAnsi="" w:eastAsia="" w:cs=""/>
          <w:color w:val="333333"/>
          <w:sz w:val="22"/>
          <w:shd w:val="clear" w:color="auto" w:fill="auto"/>
        </w:rPr>
      </w:pPr>
    </w:p>
    <w:p>
      <w:pPr>
        <w:pBdr/>
        <w:snapToGrid w:val="1"/>
        <w:spacing w:before="0" w:after="0" w:line="360" w:lineRule="auto"/>
        <w:ind w:left="0" w:right="0"/>
        <w:rPr>
          <w:rFonts w:ascii="" w:hAnsi="" w:eastAsia="" w:cs=""/>
          <w:color w:val="333333"/>
          <w:sz w:val="22"/>
          <w:shd w:val="clear" w:color="auto" w:fill="auto"/>
        </w:rPr>
      </w:pPr>
      <w:r>
        <w:rPr>
          <w:rFonts w:ascii="" w:hAnsi="" w:eastAsia="" w:cs=""/>
          <w:color w:val="333333"/>
          <w:sz w:val="22"/>
          <w:shd w:val="clear" w:color="auto" w:fill="auto"/>
        </w:rPr>
        <w:t>5：字段“拟参与规模”改为“产品规模”；</w:t>
      </w:r>
    </w:p>
    <w:p>
      <w:pPr>
        <w:pBdr/>
        <w:snapToGrid w:val="1"/>
        <w:spacing w:before="0" w:after="0" w:line="360" w:lineRule="auto"/>
        <w:ind w:left="0" w:right="0"/>
        <w:rPr>
          <w:rFonts w:ascii="" w:hAnsi="" w:eastAsia="" w:cs=""/>
          <w:color w:val="333333"/>
          <w:sz w:val="22"/>
          <w:shd w:val="clear" w:color="auto" w:fill="auto"/>
        </w:rPr>
      </w:pPr>
    </w:p>
    <w:p>
      <w:pPr>
        <w:pBdr/>
        <w:snapToGrid w:val="1"/>
        <w:spacing w:before="0" w:after="0" w:line="360" w:lineRule="auto"/>
        <w:ind w:left="0" w:right="0"/>
        <w:rPr>
          <w:rFonts w:ascii="" w:hAnsi="" w:eastAsia="" w:cs=""/>
          <w:color w:val="333333"/>
          <w:sz w:val="22"/>
          <w:shd w:val="clear" w:color="auto" w:fill="auto"/>
        </w:rPr>
      </w:pPr>
      <w:r>
        <w:rPr>
          <w:rFonts w:ascii="" w:hAnsi="" w:eastAsia="" w:cs=""/>
          <w:color w:val="333333"/>
          <w:sz w:val="22"/>
          <w:shd w:val="clear" w:color="auto" w:fill="auto"/>
        </w:rPr>
        <w:t>6：如果“参与形式”中选择包括（</w:t>
      </w:r>
      <w:r>
        <w:rPr>
          <w:rFonts w:ascii="" w:hAnsi="" w:eastAsia="" w:cs=""/>
          <w:strike w:val="1"/>
          <w:color w:val="FF0000"/>
          <w:sz w:val="22"/>
          <w:shd w:val="clear" w:color="auto" w:fill="auto"/>
        </w:rPr>
        <w:t>收益互换</w:t>
      </w:r>
      <w:r>
        <w:rPr>
          <w:rFonts w:ascii="" w:hAnsi="" w:eastAsia="" w:cs=""/>
          <w:color w:val="333333"/>
          <w:sz w:val="22"/>
          <w:shd w:val="clear" w:color="auto" w:fill="auto"/>
        </w:rPr>
        <w:t>、场外期权、收益凭证非本金保证）之一，“产品规模”填写必须大于等于5000万；</w:t>
      </w:r>
    </w:p>
    <w:p>
      <w:pPr>
        <w:pBdr/>
        <w:snapToGrid w:val="1"/>
        <w:spacing w:before="0" w:after="0" w:line="360" w:lineRule="auto"/>
        <w:ind w:left="0" w:right="0"/>
        <w:rPr>
          <w:i w:val="0"/>
          <w:strike w:val="0"/>
          <w:spacing w:val="0"/>
          <w:sz w:val="24"/>
          <w:u w:val="none"/>
        </w:rPr>
      </w:pPr>
      <w:r>
        <w:rPr>
          <w:rFonts w:ascii="" w:hAnsi="" w:eastAsia="" w:cs=""/>
          <w:color w:val="333333"/>
          <w:sz w:val="22"/>
          <w:shd w:val="clear" w:color="auto" w:fill="auto"/>
        </w:rPr>
        <w:t xml:space="preserve">    如果选了，“场外期权、收益凭证非本金保证“之一，但是“</w:t>
      </w:r>
      <w:r>
        <w:rPr>
          <w:i w:val="0"/>
          <w:strike w:val="0"/>
          <w:spacing w:val="0"/>
          <w:sz w:val="24"/>
          <w:u w:val="none"/>
        </w:rPr>
        <w:t>拟挂钩标的“选择含有“贵金属”or“大宗商品”，大于等于1000万也可提交；</w:t>
      </w:r>
    </w:p>
    <w:p>
      <w:pPr>
        <w:pBdr/>
        <w:snapToGrid w:val="1"/>
        <w:spacing w:before="0" w:after="0" w:line="360" w:lineRule="auto"/>
        <w:ind w:left="0" w:right="0"/>
        <w:rPr>
          <w:rFonts w:ascii="" w:hAnsi="" w:eastAsia="" w:cs=""/>
          <w:color w:val="333333"/>
          <w:sz w:val="22"/>
          <w:shd w:val="clear" w:color="auto" w:fill="auto"/>
        </w:rPr>
      </w:pPr>
      <w:r>
        <w:rPr>
          <w:rFonts w:ascii="" w:hAnsi="" w:eastAsia="" w:cs=""/>
          <w:i w:val="0"/>
          <w:strike w:val="0"/>
          <w:color w:val="333333"/>
          <w:spacing w:val="0"/>
          <w:sz w:val="24"/>
          <w:u w:val="none"/>
          <w:shd w:val="clear" w:color="auto" w:fill="auto"/>
        </w:rPr>
        <w:t xml:space="preserve">  </w:t>
      </w:r>
      <w:r>
        <w:rPr>
          <w:rFonts w:ascii="" w:hAnsi="" w:eastAsia="" w:cs=""/>
          <w:color w:val="333333"/>
          <w:sz w:val="22"/>
          <w:shd w:val="clear" w:color="auto" w:fill="auto"/>
        </w:rPr>
        <w:t xml:space="preserve"> 如果选了，“收益互换、收益凭证本金保障“之一，需大于等于1000万才可提交；</w:t>
      </w:r>
    </w:p>
    <w:p>
      <w:pPr>
        <w:pBdr/>
        <w:snapToGrid w:val="1"/>
        <w:spacing w:before="0" w:after="0" w:line="360" w:lineRule="auto"/>
        <w:ind w:left="0" w:right="0"/>
        <w:rPr>
          <w:rFonts w:ascii="" w:hAnsi="" w:eastAsia="" w:cs=""/>
          <w:color w:val="333333"/>
          <w:sz w:val="22"/>
          <w:shd w:val="clear" w:color="auto" w:fill="auto"/>
        </w:rPr>
      </w:pPr>
    </w:p>
    <w:p>
      <w:pPr>
        <w:pBdr/>
        <w:snapToGrid w:val="1"/>
        <w:spacing w:before="0" w:after="0" w:line="360" w:lineRule="auto"/>
        <w:ind w:left="0" w:right="0"/>
        <w:rPr>
          <w:rFonts w:ascii="" w:hAnsi="" w:eastAsia="" w:cs=""/>
          <w:color w:val="333333"/>
          <w:sz w:val="22"/>
          <w:shd w:val="clear" w:color="auto" w:fill="auto"/>
        </w:rPr>
      </w:pPr>
      <w:r>
        <w:rPr>
          <w:rFonts w:ascii="" w:hAnsi="" w:eastAsia="" w:cs=""/>
          <w:color w:val="333333"/>
          <w:sz w:val="22"/>
          <w:shd w:val="clear" w:color="auto" w:fill="auto"/>
        </w:rPr>
        <w:t>7：“拟参与的衍生品结构”选择项中 “挂钩型结构” 改为 “挂钩型结构（含收益凭证）”</w:t>
      </w:r>
    </w:p>
    <w:p>
      <w:pPr>
        <w:pBdr/>
        <w:snapToGrid w:val="1"/>
        <w:spacing w:before="0" w:after="0" w:line="360" w:lineRule="auto"/>
        <w:ind w:left="0" w:right="0"/>
        <w:rPr>
          <w:rFonts w:ascii="" w:hAnsi="" w:eastAsia="" w:cs=""/>
          <w:color w:val="333333"/>
          <w:sz w:val="22"/>
          <w:shd w:val="clear" w:color="auto" w:fill="auto"/>
        </w:rPr>
      </w:pPr>
    </w:p>
    <w:p>
      <w:pPr>
        <w:pBdr/>
        <w:snapToGrid w:val="1"/>
        <w:spacing w:before="0" w:after="0" w:line="360" w:lineRule="auto"/>
        <w:ind w:left="0" w:right="0"/>
        <w:rPr>
          <w:rFonts w:ascii="" w:hAnsi="" w:eastAsia="" w:cs=""/>
          <w:color w:val="333333"/>
          <w:sz w:val="22"/>
          <w:shd w:val="clear" w:color="auto" w:fill="auto"/>
        </w:rPr>
      </w:pPr>
      <w:r>
        <w:rPr>
          <w:rFonts w:ascii="" w:hAnsi="" w:eastAsia="" w:cs=""/>
          <w:color w:val="333333"/>
          <w:sz w:val="22"/>
          <w:shd w:val="clear" w:color="auto" w:fill="auto"/>
        </w:rPr>
        <w:t>8：“拟参与的衍生品结构”=“收益互换”时； “收益互换”中的选择项增加2个选择项： “</w:t>
      </w:r>
      <w:r>
        <w:rPr>
          <w:i w:val="0"/>
          <w:strike w:val="0"/>
          <w:spacing w:val="0"/>
          <w:u w:val="none"/>
        </w:rPr>
        <w:t>线性跟踪” “跨境互换</w:t>
      </w:r>
      <w:r>
        <w:rPr>
          <w:rFonts w:ascii="" w:hAnsi="" w:eastAsia="" w:cs=""/>
          <w:color w:val="333333"/>
          <w:sz w:val="22"/>
          <w:shd w:val="clear" w:color="auto" w:fill="auto"/>
        </w:rPr>
        <w:t>”；选择新增的这俩无需弹出“指数增强”部分；.</w:t>
      </w:r>
    </w:p>
    <w:p>
      <w:pPr>
        <w:pBdr/>
        <w:snapToGrid w:val="1"/>
        <w:spacing w:before="0" w:after="0" w:line="360" w:lineRule="auto"/>
        <w:ind w:left="0" w:right="0"/>
        <w:rPr>
          <w:rFonts w:ascii="" w:hAnsi="" w:eastAsia="" w:cs=""/>
          <w:color w:val="333333"/>
          <w:sz w:val="22"/>
          <w:shd w:val="clear" w:color="auto" w:fill="auto"/>
        </w:rPr>
      </w:pPr>
    </w:p>
    <w:p>
      <w:pPr>
        <w:pBdr/>
        <w:snapToGrid w:val="1"/>
        <w:spacing w:before="0" w:after="0" w:line="240"/>
        <w:ind w:left="0" w:right="0"/>
        <w:rPr>
          <w:i w:val="0"/>
          <w:strike w:val="0"/>
          <w:spacing w:val="0"/>
          <w:sz w:val="24"/>
          <w:u w:val="none"/>
        </w:rPr>
      </w:pPr>
      <w:r>
        <w:rPr>
          <w:rFonts w:ascii="" w:hAnsi="" w:eastAsia="" w:cs=""/>
          <w:color w:val="333333"/>
          <w:sz w:val="24"/>
          <w:shd w:val="clear" w:color="auto" w:fill="auto"/>
        </w:rPr>
        <w:t>9：新增字段：“</w:t>
      </w:r>
      <w:r>
        <w:rPr>
          <w:i w:val="0"/>
          <w:strike w:val="0"/>
          <w:spacing w:val="0"/>
          <w:sz w:val="24"/>
          <w:u w:val="none"/>
        </w:rPr>
        <w:t>拟挂钩标的</w:t>
      </w:r>
      <w:r>
        <w:rPr>
          <w:rFonts w:ascii="" w:hAnsi="" w:eastAsia="" w:cs=""/>
          <w:color w:val="333333"/>
          <w:sz w:val="24"/>
          <w:shd w:val="clear" w:color="auto" w:fill="auto"/>
        </w:rPr>
        <w:t>”；选择项 ：</w:t>
      </w:r>
      <w:r>
        <w:rPr>
          <w:i w:val="0"/>
          <w:strike w:val="0"/>
          <w:spacing w:val="0"/>
          <w:sz w:val="24"/>
          <w:u w:val="none"/>
        </w:rPr>
        <w:t>境内指数  /境内ETF  /  境内个股  /贵金属  /海外个股、基金、指数等 / 大宗商品 /   其它（含策略指数QIS）；     可单选可多选（必填）</w:t>
      </w:r>
    </w:p>
    <w:p>
      <w:pPr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spacing w:val="0"/>
          <w:sz w:val="24"/>
          <w:u w:val="none"/>
        </w:rPr>
      </w:pPr>
    </w:p>
    <w:p>
      <w:pPr>
        <w:numPr/>
        <w:pBdr/>
        <w:snapToGrid w:val="1"/>
        <w:spacing w:before="0" w:after="0" w:line="360" w:lineRule="auto"/>
        <w:ind w:left="0" w:right="0"/>
        <w:rPr>
          <w:i w:val="0"/>
          <w:strike w:val="0"/>
          <w:spacing w:val="0"/>
          <w:u w:val="none"/>
        </w:rPr>
      </w:pPr>
      <w:r>
        <w:rPr>
          <w:rFonts w:ascii="" w:hAnsi="" w:eastAsia="" w:cs=""/>
          <w:color w:val="333333"/>
          <w:sz w:val="22"/>
          <w:shd w:val="clear" w:color="auto" w:fill="auto"/>
        </w:rPr>
        <w:t>10：“拟合作交易台” 选择项改为</w:t>
      </w:r>
      <w:r>
        <w:rPr>
          <w:i w:val="0"/>
          <w:strike w:val="0"/>
          <w:spacing w:val="0"/>
          <w:u w:val="none"/>
        </w:rPr>
        <w:t>：国泰股衍，国君FICC；国君期货子；国君国际；一级券商；二级券商；一级期货子； 二级期货子；外资行；其他；   可单选可多选；</w:t>
      </w:r>
    </w:p>
    <w:p>
      <w:pPr>
        <w:pStyle w:val="w5vnkq"/>
        <w:rPr/>
      </w:pPr>
    </w:p>
    <w:p>
      <w:pPr>
        <w:pStyle w:val="w5vnkq"/>
        <w:rPr/>
      </w:pPr>
      <w:r>
        <w:rPr/>
        <w:t>2024.7.18</w:t>
      </w:r>
    </w:p>
    <w:p>
      <w:pPr>
        <w:pStyle w:val="ablt93"/>
        <w:pBdr/>
        <w:spacing w:line="360"/>
        <w:rPr>
          <w:i w:val="0"/>
          <w:strike w:val="0"/>
          <w:spacing w:val="0"/>
          <w:u w:val="none"/>
        </w:rPr>
      </w:pPr>
      <w:r>
        <w:rPr/>
        <w:t>1： “</w:t>
      </w:r>
      <w:r>
        <w:rPr>
          <w:i w:val="0"/>
          <w:strike w:val="0"/>
          <w:spacing w:val="0"/>
          <w:u w:val="none"/>
        </w:rPr>
        <w:t>是否拟配置衍生品</w:t>
      </w:r>
      <w:r>
        <w:rPr/>
        <w:t>”</w:t>
      </w:r>
      <w:r>
        <w:rPr>
          <w:i w:val="0"/>
          <w:strike w:val="0"/>
          <w:spacing w:val="0"/>
          <w:u w:val="none"/>
        </w:rPr>
        <w:t xml:space="preserve"> 改为：是否拟配置衍生品  (包含收益互换、场外期权、本金保障型 收益凭证 和非本金保障型 收益凭证</w:t>
      </w:r>
    </w:p>
    <w:p>
      <w:pPr>
        <w:pStyle w:val="ablt93"/>
        <w:pBdr/>
        <w:spacing w:line="360"/>
        <w:rPr/>
      </w:pPr>
    </w:p>
    <w:p>
      <w:pPr>
        <w:numPr/>
        <w:pBdr>
          <w:bottom/>
        </w:pBdr>
        <w:snapToGrid w:val="1"/>
        <w:spacing w:before="0" w:after="0" w:line="360" w:lineRule="auto"/>
        <w:ind w:left="0" w:right="0"/>
        <w:rPr>
          <w:rFonts w:ascii="" w:hAnsi="" w:eastAsia="" w:cs=""/>
          <w:color w:val="333333"/>
          <w:sz w:val="22"/>
          <w:shd w:val="clear" w:color="auto" w:fill="auto"/>
        </w:rPr>
      </w:pPr>
      <w:r>
        <w:rPr/>
        <w:t>2： “参与形式”选择项中，去掉 “收益凭证（本金保障型）”；选择项新增：“外资行结构性存款”“跨境结构性票据”；产品规模</w:t>
      </w:r>
      <w:r>
        <w:rPr>
          <w:rFonts w:ascii="" w:hAnsi="" w:eastAsia="" w:cs=""/>
          <w:color w:val="333333"/>
          <w:sz w:val="22"/>
          <w:shd w:val="clear" w:color="auto" w:fill="auto"/>
        </w:rPr>
        <w:t>需大于等于1000万才可提交；</w:t>
      </w:r>
    </w:p>
    <w:p>
      <w:pPr>
        <w:pStyle w:val="ablt93"/>
        <w:numPr/>
        <w:pBdr/>
        <w:spacing w:line="360"/>
        <w:rPr/>
      </w:pPr>
    </w:p>
    <w:p>
      <w:pPr>
        <w:pStyle w:val="ablt93"/>
        <w:numPr/>
        <w:pBdr/>
        <w:spacing w:line="360"/>
        <w:rPr/>
      </w:pPr>
      <w:r>
        <w:rPr/>
        <w:t>3： “配置比例”改为“衍生品配置比例”</w:t>
      </w:r>
    </w:p>
    <w:p>
      <w:pPr>
        <w:pStyle w:val="ablt93"/>
        <w:numPr/>
        <w:pBdr/>
        <w:spacing w:line="360"/>
        <w:rPr/>
      </w:pPr>
    </w:p>
    <w:p>
      <w:pPr>
        <w:pStyle w:val="ablt93"/>
        <w:numPr/>
        <w:pBdr/>
        <w:spacing w:line="360"/>
        <w:rPr/>
      </w:pPr>
      <w:r>
        <w:rPr/>
        <w:t xml:space="preserve">4： “资产配置”中 </w:t>
      </w:r>
      <w:r>
        <w:rPr>
          <w:color w:val="FF0000"/>
        </w:rPr>
        <w:t>新增字段</w:t>
      </w:r>
      <w:r>
        <w:rPr/>
        <w:t>“是否涉及如下另类策略的定制”，</w:t>
      </w:r>
    </w:p>
    <w:p>
      <w:pPr>
        <w:pStyle w:val="ablt93"/>
        <w:numPr/>
        <w:pBdr/>
        <w:spacing w:line="360"/>
        <w:rPr/>
      </w:pPr>
      <w:r>
        <w:rPr/>
        <w:t xml:space="preserve">     a.  选择项：不涉及、本金保障型收益凭证、全天候等QIS策略、跨境QDII；</w:t>
      </w:r>
    </w:p>
    <w:p>
      <w:pPr>
        <w:pStyle w:val="ablt93"/>
        <w:numPr/>
        <w:pBdr/>
        <w:spacing w:line="360"/>
        <w:rPr/>
      </w:pPr>
      <w:r>
        <w:rPr/>
        <w:t xml:space="preserve">     b.  单选； </w:t>
      </w:r>
    </w:p>
    <w:p>
      <w:pPr>
        <w:pStyle w:val="ablt93"/>
        <w:numPr/>
        <w:pBdr/>
        <w:spacing w:line="360"/>
        <w:rPr/>
      </w:pPr>
      <w:r>
        <w:rPr/>
        <w:t xml:space="preserve">     c. 选择“跨境QDII”后，是否拟配置衍生品=否，且不可修改；</w:t>
      </w:r>
    </w:p>
    <w:p>
      <w:pPr>
        <w:pStyle w:val="ablt93"/>
        <w:numPr/>
        <w:pBdr/>
        <w:spacing w:line="360"/>
        <w:rPr/>
      </w:pPr>
      <w:r>
        <w:rPr/>
        <w:t xml:space="preserve">     d.   选择后每项需填写“</w:t>
      </w:r>
      <w:r>
        <w:rPr>
          <w:color w:val="FF0000"/>
        </w:rPr>
        <w:t>配置比例”</w:t>
      </w:r>
      <w:r>
        <w:rPr/>
        <w:t>，不涉及不用填；该项配置比例+“是否配置衍生品”的“配置比例”，不得超100%；</w:t>
      </w:r>
    </w:p>
    <w:p>
      <w:pPr>
        <w:pStyle w:val="ablt93"/>
        <w:numPr/>
        <w:pBdr>
          <w:bottom/>
        </w:pBdr>
        <w:spacing w:line="360"/>
        <w:rPr/>
      </w:pPr>
      <w:r>
        <w:rPr/>
        <w:t xml:space="preserve">     e.除“不涉及”外， 选择其余的，“是否需要投资告知书=否”，且不可修改；</w:t>
      </w:r>
    </w:p>
    <w:p>
      <w:pPr>
        <w:pStyle w:val="ablt93"/>
        <w:numPr/>
        <w:pBdr/>
        <w:spacing w:line="360"/>
        <w:rPr/>
      </w:pPr>
      <w:r>
        <w:rPr/>
        <w:t xml:space="preserve">   </w:t>
      </w:r>
    </w:p>
    <w:p>
      <w:pPr>
        <w:pStyle w:val="ablt93"/>
        <w:numPr/>
        <w:pBdr>
          <w:bottom/>
        </w:pBdr>
        <w:ind w:left="0"/>
        <w:rPr/>
      </w:pPr>
      <w:r>
        <w:rPr/>
        <w:t>5： “</w:t>
      </w:r>
      <w:r>
        <w:rPr>
          <w:i w:val="0"/>
          <w:strike w:val="0"/>
          <w:spacing w:val="0"/>
          <w:u w:val="none"/>
        </w:rPr>
        <w:t>是否拟配置衍生品=是</w:t>
      </w:r>
      <w:r>
        <w:rPr/>
        <w:t>”时，新增字段“</w:t>
      </w:r>
      <w:r>
        <w:rPr>
          <w:color w:val="FF0000"/>
        </w:rPr>
        <w:t>涉及的产品类型</w:t>
      </w:r>
      <w:r>
        <w:rPr/>
        <w:t>”，可选项：尊享、臻享；如“是否涉及如下另类策略的定制≠不涉及” ，该选项只能选“臻享”</w:t>
      </w:r>
    </w:p>
    <w:p>
      <w:pPr>
        <w:pStyle w:val="ablt93"/>
        <w:numPr/>
        <w:pBdr/>
        <w:spacing w:line="360"/>
        <w:rPr/>
      </w:pPr>
    </w:p>
    <w:p>
      <w:pPr>
        <w:pStyle w:val="ablt93"/>
        <w:numPr/>
        <w:pBdr/>
        <w:spacing w:line="360"/>
        <w:rPr/>
      </w:pPr>
      <w:r>
        <w:rPr/>
        <w:t>6： 衍生品表单新增权限：</w:t>
      </w:r>
    </w:p>
    <w:p>
      <w:pPr>
        <w:pStyle w:val="ablt93"/>
        <w:numPr/>
        <w:pBdr/>
        <w:spacing w:line="360"/>
        <w:rPr/>
      </w:pPr>
    </w:p>
    <w:p>
      <w:pPr>
        <w:pStyle w:val="ablt93"/>
        <w:numPr/>
        <w:pBdr/>
        <w:spacing w:line="360"/>
        <w:rPr/>
      </w:pPr>
      <w:r>
        <w:rPr/>
        <w:t>7：</w:t>
      </w:r>
      <w:r>
        <w:rPr>
          <w:i w:val="0"/>
          <w:strike w:val="0"/>
          <w:spacing w:val="0"/>
          <w:u w:val="none"/>
        </w:rPr>
        <w:t xml:space="preserve"> 上下比例总计100的时候只能选定制方案</w:t>
      </w:r>
    </w:p>
    <w:p>
      <w:pPr>
        <w:pStyle w:val="ablt93"/>
        <w:numPr/>
        <w:pBdr/>
        <w:spacing w:line="360"/>
        <w:rPr/>
      </w:pPr>
    </w:p>
    <w:p>
      <w:pPr>
        <w:pStyle w:val="w5vnkq"/>
        <w:numPr/>
        <w:rPr/>
      </w:pPr>
      <w:r>
        <w:rPr/>
        <w:t>权限</w:t>
      </w:r>
    </w:p>
    <w:p>
      <w:pPr>
        <w:pStyle w:val="ablt93"/>
        <w:rPr/>
      </w:pPr>
      <w:r>
        <w:rPr/>
        <w:t>分支岗位顺序：客户经理&lt;营业部总&lt;分支对接人&lt;部门总&lt;市场对接人&lt;客户面板脱敏数据&lt;客户面板总数据</w:t>
      </w:r>
    </w:p>
    <w:p>
      <w:pPr>
        <w:pStyle w:val="ablt93"/>
        <w:rPr/>
      </w:pPr>
      <w:r>
        <w:rPr/>
        <w:t> </w:t>
      </w:r>
    </w:p>
    <w:p>
      <w:pPr>
        <w:pStyle w:val="ablt93"/>
        <w:rPr/>
      </w:pPr>
      <w:r>
        <w:rPr/>
        <w:t>1：脱敏字段：客户代码  客户姓名   手机号</w:t>
      </w:r>
    </w:p>
    <w:p>
      <w:pPr>
        <w:pStyle w:val="ablt93"/>
        <w:rPr/>
      </w:pPr>
      <w:r>
        <w:rPr/>
        <w:t> </w:t>
      </w:r>
    </w:p>
    <w:p>
      <w:pPr>
        <w:pStyle w:val="ablt93"/>
        <w:rPr/>
      </w:pPr>
      <w:r>
        <w:rPr/>
        <w:t>3：客户经理- 只能看到自己名下的数据；    可新增；发起自己填写的数据； 不脱敏</w:t>
      </w:r>
    </w:p>
    <w:p>
      <w:pPr>
        <w:pStyle w:val="ablt93"/>
        <w:rPr/>
      </w:pPr>
      <w:r>
        <w:rPr/>
        <w:t> </w:t>
      </w:r>
    </w:p>
    <w:p>
      <w:pPr>
        <w:pStyle w:val="ablt93"/>
        <w:rPr/>
      </w:pPr>
      <w:r>
        <w:rPr/>
        <w:t>4：营业部总- 只能看到自己营业部的数据；   可新增/修改自己数据权限； 不脱敏</w:t>
      </w:r>
    </w:p>
    <w:p>
      <w:pPr>
        <w:pStyle w:val="ablt93"/>
        <w:rPr/>
      </w:pPr>
      <w:r>
        <w:rPr/>
        <w:t> </w:t>
      </w:r>
    </w:p>
    <w:p>
      <w:pPr>
        <w:pStyle w:val="ablt93"/>
        <w:rPr/>
      </w:pPr>
      <w:r>
        <w:rPr/>
        <w:t>5：分支对接人-   可以看到整个分支的数据；可新增；发起自己填写的数据； 不脱敏\可帮客户经理新增数据；</w:t>
      </w:r>
    </w:p>
    <w:p>
      <w:pPr>
        <w:pStyle w:val="ablt93"/>
        <w:rPr/>
      </w:pPr>
      <w:r>
        <w:rPr/>
        <w:t> </w:t>
      </w:r>
    </w:p>
    <w:p>
      <w:pPr>
        <w:pStyle w:val="ablt93"/>
        <w:rPr/>
      </w:pPr>
      <w:r>
        <w:rPr/>
        <w:t>6：分公司部门总-  可以看到整个分支的数据；可新增/修改自己数据权限； 不脱敏</w:t>
      </w:r>
    </w:p>
    <w:p>
      <w:pPr>
        <w:pStyle w:val="ablt93"/>
        <w:rPr/>
      </w:pPr>
      <w:r>
        <w:rPr/>
        <w:t> </w:t>
      </w:r>
    </w:p>
    <w:p>
      <w:pPr>
        <w:pStyle w:val="ablt93"/>
        <w:rPr/>
      </w:pPr>
      <w:r>
        <w:rPr/>
        <w:t xml:space="preserve">总部： </w:t>
      </w:r>
    </w:p>
    <w:p>
      <w:pPr>
        <w:pStyle w:val="ablt93"/>
        <w:rPr/>
      </w:pPr>
      <w:r>
        <w:rPr/>
        <w:t> </w:t>
      </w:r>
    </w:p>
    <w:p>
      <w:pPr>
        <w:pStyle w:val="ablt93"/>
        <w:rPr/>
      </w:pPr>
      <w:r>
        <w:rPr/>
        <w:t>1：市场对接人 -能看到对应地区的所有客户数据；无新增修改权限；  不脱敏</w:t>
      </w:r>
    </w:p>
    <w:p>
      <w:pPr>
        <w:pStyle w:val="ablt93"/>
        <w:rPr/>
      </w:pPr>
      <w:r>
        <w:rPr/>
        <w:t xml:space="preserve"> sk_input_area_contact_person ABC都能看到</w:t>
      </w:r>
    </w:p>
    <w:p>
      <w:pPr>
        <w:pStyle w:val="ablt93"/>
        <w:rPr/>
      </w:pPr>
      <w:r>
        <w:rPr/>
        <w:t> </w:t>
      </w:r>
    </w:p>
    <w:p>
      <w:pPr>
        <w:pStyle w:val="ablt93"/>
        <w:rPr/>
      </w:pPr>
      <w:r>
        <w:rPr/>
        <w:t>2：客需经理+投资经理+衍生品投资经理- 能看到自己名下的数据；  不脱敏</w:t>
      </w:r>
    </w:p>
    <w:p>
      <w:pPr>
        <w:pStyle w:val="ablt93"/>
        <w:rPr/>
      </w:pPr>
      <w:r>
        <w:rPr/>
        <w:t>【a：是否需要投资告知=:无 -and有专户名称or专户代码and登录人是节点中的投资经理账号/衍生品投资经理；  显示“配置变更”     -----投资经理+衍生品投资经理</w:t>
      </w:r>
    </w:p>
    <w:p>
      <w:pPr>
        <w:pStyle w:val="ablt93"/>
        <w:rPr/>
      </w:pPr>
      <w:r>
        <w:rPr/>
        <w:t> </w:t>
      </w:r>
    </w:p>
    <w:p>
      <w:pPr>
        <w:pStyle w:val="ablt93"/>
        <w:rPr/>
      </w:pPr>
      <w:r>
        <w:rPr/>
        <w:t>b：是否需要投资告知=:是 and有专户名称or专户代码 and登录人是节点中的客户经理账号；  显示“配置变更”----客需经理】</w:t>
      </w:r>
    </w:p>
    <w:p>
      <w:pPr>
        <w:pStyle w:val="ablt93"/>
        <w:rPr/>
      </w:pPr>
      <w:r>
        <w:rPr/>
        <w:t> </w:t>
      </w:r>
    </w:p>
    <w:p>
      <w:pPr>
        <w:pStyle w:val="ablt93"/>
        <w:rPr/>
      </w:pPr>
      <w:r>
        <w:rPr/>
        <w:t>3：管璐洁021114+金娜014277 +张谦013966 可以看到所有数据；无新增修改权限；不脱敏；</w:t>
      </w:r>
    </w:p>
    <w:p>
      <w:pPr>
        <w:pStyle w:val="ablt93"/>
        <w:rPr/>
      </w:pPr>
      <w:r>
        <w:rPr/>
        <w:t> </w:t>
      </w:r>
    </w:p>
    <w:p>
      <w:pPr>
        <w:pStyle w:val="ablt93"/>
        <w:rPr/>
      </w:pPr>
      <w:r>
        <w:rPr/>
        <w:t>4：总部除“市场组之外的”的人，看全部数据；无新增修改权限； 脱敏；</w:t>
      </w:r>
    </w:p>
    <w:p>
      <w:pPr>
        <w:pStyle w:val="ablt93"/>
        <w:rPr/>
      </w:pPr>
      <w:r>
        <w:rPr/>
        <w:t> </w:t>
      </w:r>
    </w:p>
    <w:p>
      <w:pPr>
        <w:pStyle w:val="ablt93"/>
        <w:rPr/>
      </w:pPr>
      <w:r>
        <w:rPr/>
        <w:t>6：分支对接人；</w:t>
      </w:r>
    </w:p>
    <w:p>
      <w:pPr>
        <w:pStyle w:val="ablt93"/>
        <w:rPr/>
      </w:pPr>
      <w:r>
        <w:rPr/>
        <w:t xml:space="preserve">    </w:t>
      </w:r>
    </w:p>
    <w:p>
      <w:pPr>
        <w:pStyle w:val="ablt93"/>
        <w:rPr/>
      </w:pPr>
      <w:r>
        <w:rPr/>
        <w:t xml:space="preserve">    6.1 新增数据时，可以填该地区所有客户经理；</w:t>
      </w:r>
    </w:p>
    <w:p>
      <w:pPr>
        <w:pStyle w:val="ablt93"/>
        <w:rPr/>
      </w:pPr>
      <w:r>
        <w:rPr/>
        <w:t> </w:t>
      </w:r>
    </w:p>
    <w:p>
      <w:pPr>
        <w:pStyle w:val="ablt93"/>
        <w:rPr/>
      </w:pPr>
      <w:r>
        <w:rPr/>
        <w:t xml:space="preserve">     6.2 分支对接人新增的数据，仅对接人可修改/发起流程；客户经理本人无任何操作权限，仅可查看；</w:t>
      </w:r>
    </w:p>
    <w:p>
      <w:pPr>
        <w:pStyle w:val="ablt93"/>
        <w:rPr/>
      </w:pPr>
      <w:r>
        <w:rPr/>
        <w:t> </w:t>
      </w:r>
    </w:p>
    <w:p>
      <w:pPr>
        <w:pStyle w:val="ablt93"/>
        <w:rPr/>
      </w:pPr>
      <w:r>
        <w:rPr/>
        <w:t xml:space="preserve">   6.4 分支对接人发起的流程，在流程中"分支对接人"节点处理人；</w:t>
      </w:r>
    </w:p>
    <w:p>
      <w:pPr>
        <w:pStyle w:val="ablt93"/>
        <w:rPr/>
      </w:pPr>
      <w:r>
        <w:rPr/>
        <w:t> </w:t>
      </w:r>
    </w:p>
    <w:p>
      <w:pPr>
        <w:pStyle w:val="ablt93"/>
        <w:rPr/>
      </w:pPr>
      <w:r>
        <w:rPr/>
        <w:t xml:space="preserve">    6.5 一个分支有多个对接人的，对接人有同样的权限（可修改及发起流程）；</w:t>
      </w:r>
    </w:p>
    <w:p>
      <w:pPr>
        <w:pStyle w:val="ablt93"/>
        <w:rPr/>
      </w:pPr>
      <w:r>
        <w:rPr/>
        <w:t> </w:t>
      </w:r>
    </w:p>
    <w:p>
      <w:pPr>
        <w:pStyle w:val="ablt93"/>
        <w:rPr/>
      </w:pPr>
      <w:r>
        <w:rPr/>
        <w:t>例如：白雪和许天娇都是 北京的分支对接人；白雪新增一条面板数据，客户经理填A，</w:t>
      </w:r>
    </w:p>
    <w:p>
      <w:pPr>
        <w:pStyle w:val="ablt93"/>
        <w:rPr/>
      </w:pPr>
      <w:r>
        <w:rPr/>
        <w:t xml:space="preserve"> </w:t>
      </w:r>
    </w:p>
    <w:p>
      <w:pPr>
        <w:pStyle w:val="ablt93"/>
        <w:rPr/>
      </w:pPr>
      <w:r>
        <w:rPr/>
        <w:t xml:space="preserve">        1：白雪/许天娇 都有权 修改or发起流程；</w:t>
      </w:r>
    </w:p>
    <w:p>
      <w:pPr>
        <w:pStyle w:val="ablt93"/>
        <w:rPr/>
      </w:pPr>
      <w:r>
        <w:rPr/>
        <w:t xml:space="preserve"> </w:t>
      </w:r>
    </w:p>
    <w:p>
      <w:pPr>
        <w:pStyle w:val="ablt93"/>
        <w:rPr/>
      </w:pPr>
      <w:r>
        <w:rPr/>
        <w:t xml:space="preserve">        2：如‘白雪’发起了流程，在流程中，'分支对接人'处理的节点，白雪/许天骄均可处理；</w:t>
      </w:r>
    </w:p>
    <w:p>
      <w:pPr>
        <w:pStyle w:val="ablt93"/>
        <w:rPr/>
      </w:pPr>
      <w:r>
        <w:rPr/>
        <w:t xml:space="preserve">        3：流程中 '投资提交反馈' '客户经理确认' 处理人 为白雪（提交人）；</w:t>
      </w:r>
    </w:p>
    <w:p>
      <w:pPr>
        <w:pStyle w:val="ablt93"/>
        <w:rPr/>
      </w:pPr>
      <w:r>
        <w:rPr/>
        <w:t xml:space="preserve"> </w:t>
      </w:r>
    </w:p>
    <w:p>
      <w:pPr>
        <w:pStyle w:val="ablt93"/>
        <w:rPr/>
      </w:pPr>
      <w:r>
        <w:rPr/>
        <w:t xml:space="preserve">        4：客户经理A无任何操作权限,仅可查看；（修改，发起流程）；</w:t>
      </w:r>
    </w:p>
    <w:p>
      <w:pPr>
        <w:pStyle w:val="ablt93"/>
        <w:rPr/>
      </w:pPr>
      <w:r>
        <w:rPr/>
        <w:t> </w:t>
      </w:r>
    </w:p>
    <w:p>
      <w:pPr>
        <w:pStyle w:val="ablt93"/>
        <w:rPr/>
      </w:pPr>
      <w:r>
        <w:rPr/>
        <w:t>7： 客户经理：</w:t>
      </w:r>
    </w:p>
    <w:p>
      <w:pPr>
        <w:pStyle w:val="ablt93"/>
        <w:rPr/>
      </w:pPr>
      <w:r>
        <w:rPr/>
        <w:t> </w:t>
      </w:r>
    </w:p>
    <w:p>
      <w:pPr>
        <w:pStyle w:val="ablt93"/>
        <w:rPr/>
      </w:pPr>
      <w:r>
        <w:rPr/>
        <w:t xml:space="preserve">  7.1 客户经理自己新增的数据，自己有操作权限；分支对接人无任何操作权限，仅可查看；</w:t>
      </w:r>
    </w:p>
    <w:p>
      <w:pPr>
        <w:pStyle w:val="ablt93"/>
        <w:rPr/>
      </w:pPr>
      <w:r>
        <w:rPr/>
        <w:t> </w:t>
      </w:r>
    </w:p>
    <w:p>
      <w:pPr>
        <w:pStyle w:val="ablt93"/>
        <w:rPr/>
      </w:pPr>
      <w:r>
        <w:rPr/>
        <w:t xml:space="preserve">  7.2 流程处理逻辑不变；</w:t>
      </w:r>
    </w:p>
    <w:p>
      <w:pPr>
        <w:pStyle w:val="ablt93"/>
        <w:numPr/>
        <w:rPr/>
      </w:pPr>
      <w:r>
        <w:rPr/>
        <w:t xml:space="preserve"> </w:t>
      </w:r>
    </w:p>
    <w:p>
      <w:pPr>
        <w:pStyle w:val="ablt93"/>
        <w:rPr/>
      </w:pPr>
      <w:r>
        <w:rPr/>
        <w:t xml:space="preserve">  7.3 客户经理新增时  需校验基金从业资格证：</w:t>
      </w:r>
    </w:p>
    <w:p>
      <w:pPr>
        <w:pStyle w:val="ablt93"/>
        <w:rPr/>
      </w:pPr>
      <w:r>
        <w:rPr/>
        <w:t>SELECT</w:t>
      </w:r>
    </w:p>
    <w:p>
      <w:pPr>
        <w:pStyle w:val="ablt93"/>
        <w:rPr/>
      </w:pPr>
      <w:r>
        <w:rPr/>
        <w:tab/>
        <w:tab/>
        <w:t xml:space="preserve">EMP_NO </w:t>
      </w:r>
    </w:p>
    <w:p>
      <w:pPr>
        <w:pStyle w:val="ablt93"/>
        <w:rPr/>
      </w:pPr>
      <w:r>
        <w:rPr/>
        <w:tab/>
        <w:t>FROM</w:t>
      </w:r>
    </w:p>
    <w:p>
      <w:pPr>
        <w:pStyle w:val="ablt93"/>
        <w:rPr/>
      </w:pPr>
      <w:r>
        <w:rPr/>
        <w:tab/>
        <w:tab/>
        <w:t xml:space="preserve">jijintougu.tcl_cfgl_emp_zgcertificate </w:t>
      </w:r>
    </w:p>
    <w:p>
      <w:pPr>
        <w:pStyle w:val="ablt93"/>
        <w:rPr/>
      </w:pPr>
      <w:r>
        <w:rPr/>
        <w:tab/>
        <w:t>WHERE</w:t>
      </w:r>
    </w:p>
    <w:p>
      <w:pPr>
        <w:pStyle w:val="ablt93"/>
        <w:rPr/>
      </w:pPr>
      <w:r>
        <w:rPr/>
        <w:tab/>
        <w:t xml:space="preserve">ZGCERTIFICATENO1 IS NOT NULL </w:t>
      </w:r>
    </w:p>
    <w:p>
      <w:pPr>
        <w:pStyle w:val="ablt93"/>
        <w:numPr/>
        <w:rPr/>
      </w:pPr>
      <w:r>
        <w:rPr/>
        <w:t>---------.</w:t>
      </w:r>
    </w:p>
    <w:p>
      <w:pPr>
        <w:pStyle w:val="w5vnkq"/>
        <w:rPr/>
      </w:pPr>
      <w:r>
        <w:rPr/>
        <w:t>营业部总匹配逻辑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1：专户匹配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（1）令camunda.cm_special_mapping中’审核类型‘=’营业部总‘，’匹配类型‘=’专户‘，’专户代码‘=本次发起流程的专户代码，选取’审核人员工号‘字段作为营业部总工号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FF0000"/>
          <w:spacing w:val="0"/>
          <w:u w:val="none"/>
        </w:rPr>
        <w:t>（2）到sk_data.gtja_personinfo表中用EHR_ID=’审核人员工号’的筛选条件获取这个人的具体信息并返回；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2：营业部总匹配</w:t>
      </w:r>
    </w:p>
    <w:p>
      <w:pPr>
        <w:snapToGrid w:val="1"/>
        <w:spacing w:line="240"/>
        <w:ind/>
        <w:rPr>
          <w:color w:val="FF0000"/>
        </w:rPr>
      </w:pPr>
      <w:r>
        <w:rPr>
          <w:i w:val="0"/>
          <w:strike w:val="0"/>
          <w:color w:val="FF0000"/>
          <w:spacing w:val="0"/>
          <w:u w:val="none"/>
        </w:rPr>
        <w:t>（1）用当前客户经理的代码匹配sk_data.vw_org_employee这张表的emp_no字段，拿到对应数据的branch_id</w:t>
      </w:r>
    </w:p>
    <w:p>
      <w:pPr>
        <w:snapToGrid w:val="1"/>
        <w:spacing w:line="240"/>
        <w:ind/>
        <w:rPr>
          <w:color w:val="FF0000"/>
        </w:rPr>
      </w:pPr>
      <w:r>
        <w:rPr>
          <w:i w:val="0"/>
          <w:strike w:val="0"/>
          <w:color w:val="FF0000"/>
          <w:spacing w:val="0"/>
          <w:u w:val="none"/>
        </w:rPr>
        <w:t>（2）用branch_id匹配sk_data.dim_company_branch表的branch_id字段，拿到manager_sub_branch_code字段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（3）令camunda.cm_special_mapping中’审核类型‘=’营业部总‘，’匹配类型‘=’营业部‘，</w:t>
      </w:r>
      <w:r>
        <w:rPr>
          <w:i w:val="0"/>
          <w:strike w:val="0"/>
          <w:color w:val="FF0000"/>
          <w:spacing w:val="0"/>
          <w:u w:val="none"/>
        </w:rPr>
        <w:t>’营业部代码‘=manager_sub_branch_code</w:t>
      </w:r>
      <w:r>
        <w:rPr>
          <w:i w:val="0"/>
          <w:strike w:val="0"/>
          <w:spacing w:val="0"/>
          <w:u w:val="none"/>
        </w:rPr>
        <w:t>，‘开始时间’和‘结束时间’覆盖当前时间点，选取’审核人员工号‘字段作为营业部总工号</w:t>
      </w:r>
    </w:p>
    <w:p>
      <w:pPr>
        <w:snapToGrid w:val="1"/>
        <w:spacing w:line="240"/>
        <w:ind/>
        <w:rPr>
          <w:color w:val="FF0000"/>
        </w:rPr>
      </w:pPr>
      <w:r>
        <w:rPr>
          <w:i w:val="0"/>
          <w:strike w:val="0"/>
          <w:color w:val="FF0000"/>
          <w:spacing w:val="0"/>
          <w:u w:val="none"/>
        </w:rPr>
        <w:t>（4）到sk_data.gtja_personinfo表中用EHR_ID=’审核人员工号’的筛选条件获取这个人的具体信息并返回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3：专户代码匹配：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（1）用专户代码匹配sk_data_prodinfo的trans_code字段，拿到对应数据的brhid（营业部代码）字段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（2）用brhid匹配sk_data.dim_company_branch表的branch_id字段，拿到manager_sub_branch_code字段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（3）用manager_sub_branch_code字段去匹配qlj.branch_address中branchType='营业部'，且branchcode=manager_sub_branch_code的数据，并拿到chargePer（负责人姓名）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（4）用chargePer（负责人姓名）匹配sk_data.gtja_persininfo表中数据并带出这个人的所有信息并作为营业部总返回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4：客户经理代码匹配（最原始的核心逻辑）：</w:t>
      </w:r>
    </w:p>
    <w:p>
      <w:pPr>
        <w:snapToGrid w:val="1"/>
        <w:spacing w:line="240"/>
        <w:ind/>
        <w:rPr>
          <w:color w:val="FF0000"/>
        </w:rPr>
      </w:pPr>
      <w:r>
        <w:rPr>
          <w:i w:val="0"/>
          <w:strike w:val="0"/>
          <w:spacing w:val="0"/>
          <w:u w:val="none"/>
        </w:rPr>
        <w:t>（1）</w:t>
      </w:r>
      <w:r>
        <w:rPr>
          <w:i w:val="0"/>
          <w:strike w:val="0"/>
          <w:color w:val="FF0000"/>
          <w:spacing w:val="0"/>
          <w:u w:val="none"/>
        </w:rPr>
        <w:t>用当前客户经理的代码匹配sk_data.vw_org_employee这张表的emp_no字段，拿到对应数据的branch_id</w:t>
      </w:r>
    </w:p>
    <w:p>
      <w:pPr>
        <w:snapToGrid w:val="1"/>
        <w:spacing w:line="240"/>
        <w:ind/>
        <w:rPr>
          <w:color w:val="FF0000"/>
        </w:rPr>
      </w:pPr>
      <w:r>
        <w:rPr>
          <w:i w:val="0"/>
          <w:strike w:val="0"/>
          <w:color w:val="FF0000"/>
          <w:spacing w:val="0"/>
          <w:u w:val="none"/>
        </w:rPr>
        <w:t>（2）用branch_id匹配sk_data.dim_company_branch表的branch_id字段，拿到manager_sub_branch_code字段</w:t>
      </w:r>
    </w:p>
    <w:p>
      <w:pPr>
        <w:snapToGrid w:val="1"/>
        <w:spacing w:line="240"/>
        <w:ind/>
        <w:rPr>
          <w:color w:val="FF0000"/>
        </w:rPr>
      </w:pPr>
      <w:r>
        <w:rPr>
          <w:i w:val="0"/>
          <w:strike w:val="0"/>
          <w:color w:val="FF0000"/>
          <w:spacing w:val="0"/>
          <w:u w:val="none"/>
        </w:rPr>
        <w:t>（3）用manager_sub_branch_code字段去匹配qlj.branch_address中branchType='营业部'，且branchcode=manager_sub_branch_code的数据，并拿到chargePer（负责人姓名）</w:t>
      </w:r>
    </w:p>
    <w:p>
      <w:pPr>
        <w:snapToGrid w:val="1"/>
        <w:spacing w:line="240"/>
        <w:ind/>
        <w:rPr>
          <w:color w:val="FF0000"/>
        </w:rPr>
      </w:pPr>
      <w:r>
        <w:rPr>
          <w:i w:val="0"/>
          <w:strike w:val="0"/>
          <w:color w:val="FF0000"/>
          <w:spacing w:val="0"/>
          <w:u w:val="none"/>
        </w:rPr>
        <w:t>（4）用chargePer（负责人姓名）匹配sk_data.gtja_persininfo表中数据并带出这个人的所有信息并作为营业部总返回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5：客户代码匹配：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（1）令camunda.cm_special_mapping中’审核类型‘=’营业部总‘，’匹配类型‘=’客户代码‘，’客户代码‘=本次发起流程的客户代码，选取’审核人员工号‘字段作为营业部总工号</w:t>
      </w:r>
    </w:p>
    <w:p>
      <w:pPr>
        <w:snapToGrid w:val="1"/>
        <w:spacing w:line="240"/>
        <w:ind/>
        <w:rPr>
          <w:color w:val="FF0000"/>
        </w:rPr>
      </w:pPr>
      <w:r>
        <w:rPr>
          <w:i w:val="0"/>
          <w:strike w:val="0"/>
          <w:color w:val="FF0000"/>
          <w:spacing w:val="0"/>
          <w:u w:val="none"/>
        </w:rPr>
        <w:t>（2）到sk_data.gtja_personinfo表中用EHR_ID=’审核人员工号’的筛选条件获取这个人的具体信息并返回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6：客户代码匹配：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（1）令camunda.cm_special_mapping中’审核类型‘=’营业部总‘，’匹配类型‘=’客户代码‘，’客户代码‘=本次发起流程的客户代码，选取’审核人员工号‘字段作为营业部总工号</w:t>
      </w:r>
    </w:p>
    <w:p>
      <w:pPr>
        <w:pStyle w:val="ablt93"/>
        <w:pBdr/>
        <w:ind/>
        <w:rPr>
          <w:color w:val="FF0000"/>
        </w:rPr>
      </w:pPr>
      <w:r>
        <w:rPr>
          <w:i w:val="0"/>
          <w:strike w:val="0"/>
          <w:spacing w:val="0"/>
          <w:u w:val="none"/>
        </w:rPr>
        <w:t>（2）</w:t>
      </w:r>
      <w:r>
        <w:rPr>
          <w:i w:val="0"/>
          <w:strike w:val="0"/>
          <w:color w:val="FF0000"/>
          <w:spacing w:val="0"/>
          <w:u w:val="none"/>
        </w:rPr>
        <w:t>到sk_data.gtja_personinfo表中用EHR_ID=’审核人员工号’的筛选条件获取这个人的具体信息并返回</w:t>
      </w:r>
    </w:p>
    <w:p>
      <w:pPr>
        <w:pStyle w:val="ablt93"/>
        <w:pBdr/>
        <w:ind/>
        <w:rPr>
          <w:color w:val="FF0000"/>
        </w:rPr>
      </w:pPr>
      <w:r>
        <w:rPr>
          <w:color w:val="FF0000"/>
        </w:rPr>
        <w:t>----.</w:t>
      </w:r>
    </w:p>
    <w:p>
      <w:pPr>
        <w:pStyle w:val="ablt93"/>
        <w:pBdr/>
        <w:ind/>
        <w:rPr>
          <w:color w:val="FF0000"/>
        </w:rPr>
      </w:pPr>
      <w:r>
        <w:rPr>
          <w:i w:val="0"/>
          <w:strike w:val="0"/>
          <w:color w:val="FF0000"/>
          <w:spacing w:val="0"/>
          <w:u w:val="none"/>
        </w:rPr>
        <w:t>camunda.employee_director_info</w:t>
      </w:r>
    </w:p>
    <w:p>
      <w:pPr>
        <w:pStyle w:val="ablt93"/>
        <w:pBdr/>
        <w:ind/>
        <w:rPr/>
      </w:pPr>
      <w:r>
        <w:rPr/>
        <w:t>-------------------</w:t>
      </w:r>
    </w:p>
    <w:p>
      <w:pPr>
        <w:pStyle w:val="ablt93"/>
        <w:pBdr/>
        <w:ind/>
        <w:rPr/>
      </w:pPr>
    </w:p>
    <w:p>
      <w:pPr>
        <w:pStyle w:val="w5vnkq"/>
        <w:numPr/>
        <w:pBdr/>
        <w:ind/>
        <w:rPr/>
      </w:pPr>
      <w:r>
        <w:rPr/>
        <w:t>2024.7.22   张宇</w:t>
      </w:r>
    </w:p>
    <w:p>
      <w:pPr>
        <w:pStyle w:val="ablt93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1： 面板给资管杨钤雯（015236）、孙成（020558）、刘祥（025791）、丁冠中（020096）查询资配类型专户的权限，给丁颖（019681）、傅林钊（025156）、侯少蒙（025636）查询（股份管理、100%衍生品）权限。客户KYC按资管可见字段展示。</w:t>
      </w:r>
    </w:p>
    <w:p>
      <w:pPr>
        <w:pStyle w:val="ablt93"/>
        <w:pBdr/>
        <w:rPr/>
      </w:pPr>
    </w:p>
    <w:p>
      <w:pPr>
        <w:pStyle w:val="w5vnkq"/>
        <w:rPr/>
      </w:pPr>
      <w:r>
        <w:rPr/>
        <w:t>2024.8.1 张宇</w:t>
      </w:r>
    </w:p>
    <w:p>
      <w:pPr>
        <w:snapToGrid w:val="1"/>
        <w:spacing w:line="240"/>
        <w:rPr/>
      </w:pPr>
      <w:r>
        <w:rPr>
          <w:i w:val="0"/>
          <w:strike w:val="0"/>
          <w:spacing w:val="0"/>
          <w:u w:val="none"/>
        </w:rPr>
        <w:t>预期收益：个人投资者 且风险等级在C1-C4，只可选</w:t>
      </w:r>
      <w:r>
        <w:rPr>
          <w:i w:val="0"/>
          <w:strike w:val="0"/>
          <w:color w:val="FF0000"/>
          <w:spacing w:val="0"/>
          <w:u w:val="none"/>
        </w:rPr>
        <w:t>0%-3%，</w:t>
      </w:r>
      <w:r>
        <w:rPr>
          <w:i w:val="0"/>
          <w:strike w:val="0"/>
          <w:spacing w:val="0"/>
          <w:u w:val="none"/>
        </w:rPr>
        <w:t xml:space="preserve"> 3%~5%, 6%~10%；</w:t>
      </w:r>
    </w:p>
    <w:p>
      <w:pPr>
        <w:pStyle w:val="ablt93"/>
        <w:pBdr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回撤区间：风险等级 在 C1~4 的情况下, 只可选</w:t>
      </w:r>
      <w:r>
        <w:rPr>
          <w:i w:val="0"/>
          <w:strike w:val="0"/>
          <w:color w:val="FF0000"/>
          <w:spacing w:val="0"/>
          <w:u w:val="none"/>
        </w:rPr>
        <w:t>0%-2%，</w:t>
      </w:r>
      <w:r>
        <w:rPr>
          <w:i w:val="0"/>
          <w:strike w:val="0"/>
          <w:spacing w:val="0"/>
          <w:u w:val="none"/>
        </w:rPr>
        <w:t xml:space="preserve"> 2%~4%, 4%~6%</w:t>
      </w:r>
    </w:p>
    <w:p>
      <w:pPr>
        <w:pStyle w:val="ablt93"/>
        <w:pBdr/>
        <w:rPr/>
      </w:pPr>
    </w:p>
    <w:p>
      <w:pPr>
        <w:pStyle w:val="w5vnkq"/>
        <w:rPr/>
      </w:pPr>
      <w:r>
        <w:rPr/>
        <w:t>2024.8.14 龙菊舒</w:t>
      </w:r>
    </w:p>
    <w:p>
      <w:pPr>
        <w:snapToGrid w:val="1"/>
        <w:spacing w:line="240"/>
        <w:rPr>
          <w:b w:val="0"/>
        </w:rPr>
      </w:pPr>
      <w:r>
        <w:rPr>
          <w:b w:val="0"/>
          <w:i w:val="0"/>
          <w:strike w:val="0"/>
          <w:spacing w:val="0"/>
          <w:u w:val="none"/>
        </w:rPr>
        <w:t>1：另类策略≠不涉及时，“是否海外” 默认=否，可修改；</w:t>
      </w:r>
    </w:p>
    <w:p>
      <w:pPr>
        <w:snapToGrid w:val="1"/>
        <w:spacing w:line="240"/>
        <w:rPr>
          <w:b w:val="0"/>
        </w:rPr>
      </w:pPr>
      <w:r>
        <w:rPr>
          <w:b w:val="0"/>
          <w:i w:val="0"/>
          <w:strike w:val="0"/>
          <w:spacing w:val="0"/>
          <w:u w:val="none"/>
        </w:rPr>
        <w:t>2：“投资期限”后面备注：（小于等于1年选择1年）</w:t>
      </w:r>
    </w:p>
    <w:p>
      <w:pPr>
        <w:snapToGrid w:val="1"/>
        <w:spacing w:line="240"/>
        <w:rPr>
          <w:b w:val="0"/>
        </w:rPr>
      </w:pPr>
      <w:r>
        <w:rPr>
          <w:b w:val="0"/>
          <w:i w:val="0"/>
          <w:strike w:val="0"/>
          <w:spacing w:val="0"/>
          <w:u w:val="none"/>
        </w:rPr>
        <w:t>3：“亏损预警” 后面加个 %，仅可录入数字；</w:t>
      </w:r>
    </w:p>
    <w:p>
      <w:pPr>
        <w:pStyle w:val="w5vnkq"/>
        <w:rPr/>
      </w:pPr>
    </w:p>
    <w:p>
      <w:pPr>
        <w:pStyle w:val="w5vnkq"/>
        <w:rPr/>
      </w:pPr>
      <w:r>
        <w:rPr/>
        <w:t>2024.8.22 管老师</w:t>
      </w:r>
    </w:p>
    <w:p>
      <w:pPr>
        <w:snapToGrid w:val="1"/>
        <w:spacing w:line="240"/>
        <w:rPr>
          <w:b w:val="0"/>
        </w:rPr>
      </w:pPr>
      <w:r>
        <w:rPr>
          <w:b w:val="0"/>
          <w:i w:val="0"/>
          <w:strike w:val="0"/>
          <w:spacing w:val="0"/>
          <w:u w:val="none"/>
        </w:rPr>
        <w:t>1、最大损失水平区间：0%-2%，对应收益水平区间：0%-3%；低波动</w:t>
      </w:r>
    </w:p>
    <w:p>
      <w:pPr>
        <w:snapToGrid w:val="1"/>
        <w:spacing w:line="240"/>
        <w:rPr>
          <w:b w:val="0"/>
        </w:rPr>
      </w:pPr>
      <w:r>
        <w:rPr>
          <w:b w:val="0"/>
          <w:i w:val="0"/>
          <w:strike w:val="0"/>
          <w:spacing w:val="0"/>
          <w:u w:val="none"/>
        </w:rPr>
        <w:t>2、最大损失水平区间：2%-4%，对应收益水平区间：3%-5%； 中低波动</w:t>
      </w:r>
    </w:p>
    <w:p>
      <w:pPr>
        <w:snapToGrid w:val="1"/>
        <w:spacing w:line="240"/>
        <w:rPr>
          <w:b w:val="0"/>
        </w:rPr>
      </w:pPr>
      <w:r>
        <w:rPr>
          <w:b w:val="0"/>
          <w:i w:val="0"/>
          <w:strike w:val="0"/>
          <w:spacing w:val="0"/>
          <w:u w:val="none"/>
        </w:rPr>
        <w:t xml:space="preserve">3、最大损失水平区间：4%-6%，对应收益水平区间：6%-10%； </w:t>
      </w:r>
      <w:r>
        <w:rPr>
          <w:i w:val="0"/>
          <w:strike w:val="0"/>
          <w:spacing w:val="0"/>
          <w:u w:val="none"/>
        </w:rPr>
        <w:t>中等波动</w:t>
      </w:r>
    </w:p>
    <w:p>
      <w:pPr>
        <w:snapToGrid w:val="1"/>
        <w:spacing w:line="240"/>
        <w:rPr>
          <w:b w:val="0"/>
        </w:rPr>
      </w:pPr>
      <w:r>
        <w:rPr>
          <w:b w:val="0"/>
          <w:i w:val="0"/>
          <w:strike w:val="0"/>
          <w:spacing w:val="0"/>
          <w:u w:val="none"/>
        </w:rPr>
        <w:t>4、最大损失水平区间：6%-10%，对应收益水平区间：10%-15%；</w:t>
      </w:r>
      <w:r>
        <w:rPr>
          <w:i w:val="0"/>
          <w:strike w:val="0"/>
          <w:spacing w:val="0"/>
          <w:u w:val="none"/>
        </w:rPr>
        <w:t>中高波动</w:t>
      </w:r>
    </w:p>
    <w:p>
      <w:pPr>
        <w:snapToGrid w:val="1"/>
        <w:spacing w:line="240"/>
        <w:rPr>
          <w:b w:val="0"/>
        </w:rPr>
      </w:pPr>
      <w:r>
        <w:rPr>
          <w:b w:val="0"/>
          <w:i w:val="0"/>
          <w:strike w:val="0"/>
          <w:spacing w:val="0"/>
          <w:u w:val="none"/>
        </w:rPr>
        <w:t>5、最大损失水平区间：10%以上，对应收益水平区间：15%及以上；高波动</w:t>
      </w:r>
    </w:p>
    <w:p>
      <w:pPr>
        <w:pStyle w:val="ablt93"/>
        <w:numPr/>
        <w:pBdr/>
        <w:rPr>
          <w:b w:val="0"/>
        </w:rPr>
      </w:pPr>
    </w:p>
    <w:p>
      <w:pPr>
        <w:pStyle w:val="ablt93"/>
        <w:numPr/>
        <w:pBdr/>
        <w:rPr>
          <w:b w:val="0"/>
        </w:rPr>
      </w:pPr>
      <w:r>
        <w:rPr>
          <w:b w:val="0"/>
        </w:rPr>
        <w:t>C4以下只可选0-2%、2-4%、4-6%；</w:t>
      </w:r>
    </w:p>
    <w:p>
      <w:pPr>
        <w:snapToGrid w:val="1"/>
        <w:spacing w:line="240"/>
        <w:rPr>
          <w:b w:val="0"/>
        </w:rPr>
      </w:pPr>
    </w:p>
    <w:p>
      <w:pPr>
        <w:pStyle w:val="ablt93"/>
        <w:pBdr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选择了最大损失水平区间，自动带出  “客户希望获取的收益水平”，且不可修改 ；</w:t>
      </w:r>
    </w:p>
    <w:p>
      <w:pPr>
        <w:pStyle w:val="ablt93"/>
        <w:pBdr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（风险等级- 损失水平 - 收益水平）；收益水平不在挂钩风险等级</w:t>
      </w:r>
    </w:p>
    <w:p>
      <w:pPr>
        <w:pStyle w:val="ablt93"/>
        <w:pBdr/>
        <w:rPr>
          <w:b w:val="0"/>
        </w:rPr>
      </w:pPr>
    </w:p>
    <w:p>
      <w:pPr>
        <w:pStyle w:val="ablt93"/>
        <w:pBdr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如果是专业投资者 就不控制； 不管风险等级</w:t>
      </w:r>
    </w:p>
    <w:p>
      <w:pPr>
        <w:pStyle w:val="w5vnkq"/>
        <w:rPr/>
      </w:pPr>
    </w:p>
    <w:p>
      <w:pPr>
        <w:pStyle w:val="w5vnkq"/>
        <w:rPr/>
      </w:pPr>
      <w:r>
        <w:rPr/>
        <w:t>2024.12.5 龙菊舒</w:t>
      </w:r>
    </w:p>
    <w:p>
      <w:pPr>
        <w:pStyle w:val="ablt93"/>
        <w:pBdr/>
        <w:ind/>
        <w:rPr>
          <w:b w:val="0"/>
        </w:rPr>
      </w:pPr>
      <w:r>
        <w:rPr>
          <w:b w:val="0"/>
        </w:rPr>
        <w:t>1：另类策略=跨境QDII时，比例只能填100%；</w:t>
      </w:r>
    </w:p>
    <w:p>
      <w:pPr>
        <w:pStyle w:val="ablt93"/>
        <w:pBdr/>
        <w:rPr>
          <w:b w:val="0"/>
        </w:rPr>
      </w:pPr>
    </w:p>
    <w:p>
      <w:pPr>
        <w:pStyle w:val="ablt93"/>
        <w:pBdr/>
        <w:ind/>
        <w:rPr>
          <w:b w:val="0"/>
        </w:rPr>
      </w:pPr>
      <w:r>
        <w:rPr>
          <w:b w:val="0"/>
        </w:rPr>
        <w:t xml:space="preserve">2：另类策略=收益凭证or全天候 时，提交时校验 另类策略+衍生品比例是否=100%， 如果衍生品=否，另类策略比例只能填100%； </w:t>
      </w:r>
    </w:p>
    <w:p>
      <w:pPr>
        <w:pStyle w:val="ablt93"/>
        <w:pBdr/>
        <w:ind/>
        <w:rPr>
          <w:b w:val="0"/>
        </w:rPr>
      </w:pPr>
    </w:p>
    <w:p>
      <w:pPr>
        <w:pStyle w:val="ablt93"/>
        <w:pBdr/>
        <w:ind/>
        <w:rPr/>
      </w:pPr>
      <w:r>
        <w:rPr>
          <w:b w:val="0"/>
        </w:rPr>
        <w:t>如果上下比例=100的时候，不管衍生品，都要选</w:t>
      </w:r>
      <w:r>
        <w:rPr/>
        <w:t>“</w:t>
      </w:r>
      <w:r>
        <w:rPr>
          <w:color w:val="FF0000"/>
        </w:rPr>
        <w:t>涉及的产品类型</w:t>
      </w:r>
      <w:r>
        <w:rPr/>
        <w:t>”，</w:t>
      </w:r>
    </w:p>
    <w:p>
      <w:pPr>
        <w:pStyle w:val="ablt93"/>
        <w:pBdr/>
        <w:ind/>
        <w:rPr>
          <w:b w:val="0"/>
        </w:rPr>
      </w:pPr>
    </w:p>
    <w:p>
      <w:pPr>
        <w:pStyle w:val="ablt93"/>
        <w:pBdr/>
        <w:ind/>
        <w:rPr>
          <w:b w:val="0"/>
        </w:rPr>
      </w:pPr>
      <w:r>
        <w:rPr>
          <w:b w:val="0"/>
        </w:rPr>
        <w:t>1：衍生品=是</w:t>
      </w:r>
    </w:p>
    <w:p>
      <w:pPr>
        <w:pStyle w:val="ablt93"/>
        <w:pBdr/>
        <w:ind/>
        <w:rPr>
          <w:b w:val="0"/>
        </w:rPr>
      </w:pPr>
      <w:r>
        <w:rPr>
          <w:b w:val="0"/>
        </w:rPr>
        <w:t>2：上下比例</w:t>
      </w:r>
    </w:p>
    <w:p>
      <w:pPr>
        <w:pStyle w:val="ablt93"/>
        <w:pBdr/>
        <w:ind/>
        <w:rPr>
          <w:b w:val="0"/>
        </w:rPr>
      </w:pPr>
    </w:p>
    <w:p>
      <w:pPr>
        <w:pStyle w:val="ablt93"/>
        <w:pBdr/>
        <w:ind/>
        <w:rPr>
          <w:b w:val="0"/>
        </w:rPr>
      </w:pPr>
    </w:p>
    <w:p>
      <w:pPr>
        <w:pStyle w:val="w5vnkq"/>
        <w:rPr/>
      </w:pPr>
      <w:r>
        <w:rPr/>
        <w:t>2025.2.17   白怡文</w:t>
      </w:r>
    </w:p>
    <w:p>
      <w:pPr>
        <w:pStyle w:val="ablt93"/>
        <w:pBdr/>
        <w:ind/>
        <w:rPr/>
      </w:pPr>
      <w:r>
        <w:rPr/>
        <w:t>（证券资管、期货资管；‘）新增字段：</w:t>
      </w:r>
    </w:p>
    <w:p>
      <w:pPr>
        <w:pStyle w:val="ablt93"/>
        <w:pBdr/>
        <w:spacing w:line="360"/>
        <w:ind/>
        <w:rPr/>
      </w:pPr>
      <w:r>
        <w:rPr/>
        <w:t>1：是否有回款需求：    是/否  ；必填</w:t>
      </w:r>
    </w:p>
    <w:p>
      <w:pPr>
        <w:pStyle w:val="ablt93"/>
        <w:pBdr/>
        <w:spacing w:line="360"/>
        <w:ind/>
        <w:rPr/>
      </w:pPr>
      <w:r>
        <w:rPr/>
        <w:t>2：‘是否需要投资告知书=是’  要填‘方案类型’ 和 ‘细分类型’，方案类型=订制方案 时，</w:t>
      </w:r>
    </w:p>
    <w:p>
      <w:pPr>
        <w:pStyle w:val="ablt93"/>
        <w:pBdr/>
        <w:spacing w:line="360"/>
        <w:ind/>
        <w:rPr/>
      </w:pPr>
      <w:r>
        <w:rPr/>
        <w:t xml:space="preserve">    新增字段：</w:t>
      </w:r>
    </w:p>
    <w:p>
      <w:pPr>
        <w:pStyle w:val="ablt93"/>
        <w:pBdr>
          <w:bottom/>
        </w:pBdr>
        <w:spacing w:line="360"/>
        <w:ind/>
        <w:rPr/>
      </w:pPr>
      <w:r>
        <w:rPr/>
        <w:t xml:space="preserve">     a.偏好管理人 ：选择，多选；  必填；（后端给接口，已入池的管理人）</w:t>
      </w:r>
    </w:p>
    <w:p>
      <w:pPr>
        <w:pStyle w:val="ablt93"/>
        <w:pBdr/>
        <w:spacing w:line="360"/>
        <w:ind/>
        <w:rPr>
          <w:i w:val="0"/>
          <w:strike w:val="0"/>
          <w:spacing w:val="0"/>
          <w:u w:val="none"/>
        </w:rPr>
      </w:pPr>
      <w:r>
        <w:rPr/>
        <w:t xml:space="preserve">     b.</w:t>
      </w:r>
      <w:r>
        <w:rPr>
          <w:i w:val="0"/>
          <w:strike w:val="0"/>
          <w:spacing w:val="0"/>
          <w:u w:val="none"/>
        </w:rPr>
        <w:t xml:space="preserve">偏好策略类型及比例：股票多头（  % ）管理期货（  % ）债券策略（  % ）相对价值（  % ）多策略 （  % ） 货币 （  % ） 衍生品（  % ）   其他（  % ）；可多选，比例总计必须=100%才可提交； </w:t>
      </w:r>
      <w:r>
        <w:rPr/>
        <w:t>多选；  必填；</w:t>
      </w:r>
    </w:p>
    <w:p>
      <w:pPr>
        <w:pStyle w:val="ablt93"/>
        <w:pBdr/>
        <w:spacing w:line="360"/>
        <w:ind/>
        <w:rPr/>
      </w:pPr>
    </w:p>
    <w:p>
      <w:pPr>
        <w:pStyle w:val="ablt93"/>
        <w:pBdr/>
        <w:spacing w:line="360"/>
        <w:ind/>
        <w:rPr/>
      </w:pPr>
      <w:r>
        <w:rPr/>
        <w:t>（华宝信托）新增字段</w:t>
      </w:r>
    </w:p>
    <w:p>
      <w:pPr>
        <w:pStyle w:val="ablt93"/>
        <w:pBdr/>
        <w:spacing w:line="360"/>
        <w:ind/>
        <w:rPr/>
      </w:pPr>
      <w:r>
        <w:rPr/>
        <w:t>1：是否为中国内地税务局面：是/否   否的话，填地区； 必填；</w:t>
      </w:r>
    </w:p>
    <w:p>
      <w:pPr>
        <w:pStyle w:val="ablt93"/>
        <w:pBdr/>
        <w:spacing w:line="360"/>
        <w:ind/>
        <w:rPr/>
      </w:pPr>
      <w:r>
        <w:rPr/>
        <w:t>--</w:t>
      </w:r>
    </w:p>
    <w:p>
      <w:pPr>
        <w:pStyle w:val="ablt93"/>
        <w:pBdr/>
        <w:spacing w:line="360"/>
        <w:ind/>
        <w:rPr>
          <w:i w:val="0"/>
          <w:strike w:val="0"/>
          <w:spacing w:val="0"/>
          <w:u w:val="none"/>
        </w:rPr>
      </w:pPr>
      <w:r>
        <w:rPr/>
        <w:t>新增flag状态， 校验‘’风险等级‘与‘可承受的最大损失；与</w:t>
      </w:r>
      <w:r>
        <w:rPr>
          <w:i w:val="0"/>
          <w:strike w:val="0"/>
          <w:spacing w:val="0"/>
          <w:u w:val="none"/>
        </w:rPr>
        <w:t>jijintougu.tcl_cfgl_cust_info是否一样；风险等级校验CUST_RISK_LEVEL_NAME;最大损失校验RISK_APPETITE_NAME;</w:t>
      </w:r>
    </w:p>
    <w:p>
      <w:pPr>
        <w:pStyle w:val="ablt93"/>
        <w:pBdr/>
        <w:spacing w:line="36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新增字段：</w:t>
      </w:r>
    </w:p>
    <w:p>
      <w:pPr>
        <w:pStyle w:val="ablt93"/>
        <w:pBdr/>
        <w:spacing w:line="36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能承受的最大投资亏损：</w:t>
      </w:r>
    </w:p>
    <w:p>
      <w:pPr>
        <w:pStyle w:val="ablt93"/>
        <w:numPr>
          <w:ilvl w:val="0"/>
          <w:numId w:val="1"/>
        </w:numPr>
        <w:pBdr/>
        <w:spacing w:line="360"/>
        <w:rPr/>
      </w:pPr>
      <w:r>
        <w:rPr>
          <w:i w:val="0"/>
          <w:strike w:val="0"/>
          <w:spacing w:val="0"/>
          <w:u w:val="none"/>
        </w:rPr>
        <w:t>没有风险容忍度或者不能承受任何亏损；</w:t>
      </w:r>
    </w:p>
    <w:p>
      <w:pPr>
        <w:pStyle w:val="ablt93"/>
        <w:numPr>
          <w:ilvl w:val="0"/>
          <w:numId w:val="1"/>
        </w:numPr>
        <w:pBdr/>
        <w:spacing w:line="36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尽可能保证本金安全 </w:t>
      </w:r>
    </w:p>
    <w:p>
      <w:pPr>
        <w:pStyle w:val="ablt93"/>
        <w:numPr>
          <w:ilvl w:val="0"/>
          <w:numId w:val="1"/>
        </w:numPr>
        <w:pBdr/>
        <w:spacing w:line="360"/>
        <w:ind/>
        <w:rPr/>
      </w:pPr>
      <w:r>
        <w:rPr>
          <w:i w:val="0"/>
          <w:strike w:val="0"/>
          <w:spacing w:val="0"/>
          <w:u w:val="none"/>
        </w:rPr>
        <w:t xml:space="preserve">可以承受一定，甚至较大的亏损 </w:t>
      </w:r>
    </w:p>
    <w:p>
      <w:pPr>
        <w:pStyle w:val="ablt93"/>
        <w:numPr>
          <w:ilvl w:val="0"/>
          <w:numId w:val="1"/>
        </w:numPr>
        <w:pBdr/>
        <w:spacing w:line="360"/>
        <w:ind/>
        <w:rPr/>
      </w:pPr>
      <w:r>
        <w:rPr>
          <w:i w:val="0"/>
          <w:strike w:val="0"/>
          <w:spacing w:val="0"/>
          <w:u w:val="none"/>
        </w:rPr>
        <w:t>亏损可能超过本金</w:t>
      </w:r>
    </w:p>
    <w:p>
      <w:pPr>
        <w:pStyle w:val="ablt93"/>
        <w:pBdr/>
        <w:spacing w:line="360"/>
        <w:ind w:left="0"/>
        <w:rPr/>
      </w:pPr>
    </w:p>
    <w:p>
      <w:pPr>
        <w:pStyle w:val="w5vnkq"/>
        <w:pBdr/>
        <w:ind/>
        <w:rPr/>
      </w:pPr>
      <w:r>
        <w:rPr/>
        <w:t xml:space="preserve">2025.3.12  管老师 </w:t>
      </w:r>
    </w:p>
    <w:p>
      <w:pPr>
        <w:snapToGrid w:val="1"/>
        <w:spacing w:line="360"/>
        <w:ind/>
        <w:rPr/>
      </w:pPr>
      <w:r>
        <w:rPr>
          <w:rFonts w:ascii="Helvetica" w:hAnsi="Helvetica" w:cs="Helvetica"/>
          <w:i w:val="0"/>
          <w:strike w:val="0"/>
          <w:spacing w:val="0"/>
          <w:u w:val="none"/>
        </w:rPr>
        <w:t>1：面板开放给 市场对接人，可新增、发起流程；（包括配置变更及需求变更）；</w:t>
      </w:r>
    </w:p>
    <w:p>
      <w:pPr>
        <w:pStyle w:val="ablt93"/>
        <w:pBdr/>
        <w:spacing w:line="360"/>
        <w:ind/>
        <w:rPr>
          <w:rFonts w:ascii="Helvetica" w:hAnsi="Helvetica" w:cs="Helvetica"/>
          <w:i w:val="0"/>
          <w:strike w:val="0"/>
          <w:spacing w:val="0"/>
          <w:u w:val="none"/>
        </w:rPr>
      </w:pPr>
      <w:r>
        <w:rPr>
          <w:rFonts w:ascii="Helvetica" w:hAnsi="Helvetica" w:cs="Helvetica"/>
          <w:i w:val="0"/>
          <w:strike w:val="0"/>
          <w:spacing w:val="0"/>
          <w:u w:val="none"/>
        </w:rPr>
        <w:t>2：如果是市场对接人发起的流程， 分支审核节点中的 营业部总 给管璐洁审核021114，合规给 贲聪审015123； 无需 分支对接人审核；</w:t>
      </w:r>
    </w:p>
    <w:p>
      <w:pPr>
        <w:pStyle w:val="ablt93"/>
        <w:pBdr/>
        <w:spacing w:line="360"/>
        <w:ind/>
        <w:rPr/>
      </w:pPr>
      <w:r>
        <w:rPr/>
        <w:t>3：市场对接人节点及后续处理不变；</w:t>
      </w:r>
    </w:p>
    <w:p>
      <w:pPr>
        <w:pStyle w:val="ablt93"/>
        <w:pBdr/>
        <w:spacing w:line="360"/>
        <w:ind/>
        <w:rPr/>
      </w:pPr>
    </w:p>
    <w:p>
      <w:pPr>
        <w:pStyle w:val="ablt93"/>
        <w:pBdr/>
        <w:spacing w:line="360"/>
        <w:ind/>
        <w:rPr/>
      </w:pPr>
    </w:p>
    <w:p>
      <w:pPr>
        <w:pStyle w:val="w5vnkq"/>
        <w:spacing w:line="312"/>
        <w:rPr/>
      </w:pPr>
      <w:r>
        <w:rPr/>
        <w:t>2025.2.27  刘爽/陈心怡</w:t>
      </w:r>
    </w:p>
    <w:p>
      <w:pPr>
        <w:pBdr/>
        <w:snapToGrid w:val="1"/>
        <w:spacing w:line="312"/>
        <w:ind/>
        <w:rPr>
          <w:rFonts w:ascii="Helvetica" w:hAnsi="Helvetica" w:cs="Helvetica"/>
          <w:i w:val="0"/>
          <w:strike w:val="0"/>
          <w:spacing w:val="0"/>
          <w:u w:val="none"/>
        </w:rPr>
      </w:pPr>
      <w:r>
        <w:rPr>
          <w:rFonts w:ascii="Helvetica" w:hAnsi="Helvetica" w:cs="Helvetica"/>
          <w:i w:val="0"/>
          <w:strike w:val="0"/>
          <w:spacing w:val="0"/>
          <w:u w:val="none"/>
        </w:rPr>
        <w:t>1：我们面板提交后 点了发起流程，新增一个状态，叫“待确认”；</w:t>
      </w:r>
    </w:p>
    <w:p>
      <w:pPr>
        <w:pBdr/>
        <w:snapToGrid w:val="1"/>
        <w:spacing w:line="312"/>
        <w:ind/>
        <w:rPr>
          <w:rFonts w:ascii="Helvetica" w:hAnsi="Helvetica" w:cs="Helvetica"/>
          <w:i w:val="0"/>
          <w:strike w:val="0"/>
          <w:spacing w:val="0"/>
          <w:u w:val="none"/>
        </w:rPr>
      </w:pPr>
      <w:r>
        <w:rPr>
          <w:rFonts w:ascii="Helvetica" w:hAnsi="Helvetica" w:cs="Helvetica"/>
          <w:i w:val="0"/>
          <w:strike w:val="0"/>
          <w:spacing w:val="0"/>
          <w:u w:val="none"/>
        </w:rPr>
        <w:t>提交之后， 匹配用户的风险等级和客户可承受的最大损失水；匹配的表是jijintougu.tcl_cfgl_cust_info的CUST_RISK_LEVEL_NAME（匹配面板的风险等级）和RISK_APPETITE_NAME（匹配面板的最大损失水平）；， 如果不匹配， 给前端一个提示；</w:t>
      </w:r>
    </w:p>
    <w:p>
      <w:pPr>
        <w:pBdr>
          <w:bottom/>
        </w:pBdr>
        <w:snapToGrid w:val="1"/>
        <w:spacing w:line="312"/>
        <w:ind/>
        <w:rPr>
          <w:rFonts w:ascii="Helvetica" w:hAnsi="Helvetica" w:cs="Helvetica"/>
          <w:i w:val="0"/>
          <w:strike w:val="0"/>
          <w:spacing w:val="0"/>
          <w:u w:val="none"/>
        </w:rPr>
      </w:pPr>
      <w:r>
        <w:rPr>
          <w:rFonts w:ascii="Helvetica" w:hAnsi="Helvetica" w:cs="Helvetica"/>
          <w:i w:val="0"/>
          <w:strike w:val="0"/>
          <w:spacing w:val="0"/>
          <w:u w:val="none"/>
        </w:rPr>
        <w:t>‘’可承受的最大损失水平与客户风险等级测试结果不匹配，请修改后提交”；</w:t>
      </w:r>
    </w:p>
    <w:tbl>
      <w:tblPr>
        <w:tblStyle w:val="x2bstg"/>
        <w:tblLayout w:type="fixed"/>
      </w:tblPr>
      <w:tblGrid>
        <w:gridCol w:w="3481"/>
        <w:gridCol w:w="2787"/>
        <w:gridCol w:w="2787"/>
      </w:tblGrid>
      <w:tr>
        <w:trPr>
          <w:wBefore/>
          <w:trHeight/>
        </w:trPr>
        <w:tc>
          <w:tcPr>
            <w:tcW w:w="3481" w:type="dxa"/>
          </w:tcPr>
          <w:p>
            <w:pPr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A</w:t>
            </w:r>
          </w:p>
        </w:tc>
        <w:tc>
          <w:tcPr>
            <w:tcW w:w="2787" w:type="dxa"/>
          </w:tcPr>
          <w:p>
            <w:pPr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B</w:t>
            </w:r>
          </w:p>
        </w:tc>
        <w:tc>
          <w:tcPr>
            <w:tcW w:w="2787" w:type="dxa"/>
          </w:tcPr>
          <w:p>
            <w:pPr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C</w:t>
            </w:r>
          </w:p>
        </w:tc>
      </w:tr>
      <w:tr>
        <w:trPr/>
        <w:tc>
          <w:tcPr>
            <w:tcW w:w="3481" w:type="dxa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尽可能保证本金安全</w:t>
            </w:r>
          </w:p>
        </w:tc>
        <w:tc>
          <w:tcPr>
            <w:tcW w:w="2787" w:type="dxa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可选0%-2%</w:t>
            </w:r>
          </w:p>
        </w:tc>
        <w:tc>
          <w:tcPr>
            <w:tcW w:w="2787" w:type="dxa"/>
          </w:tcPr>
          <w:p>
            <w:pPr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0%-2%</w:t>
            </w:r>
          </w:p>
        </w:tc>
      </w:tr>
      <w:tr>
        <w:trPr/>
        <w:tc>
          <w:tcPr>
            <w:tcW w:w="3481" w:type="dxa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/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可以承受一定，甚至较大的损失</w:t>
            </w:r>
          </w:p>
        </w:tc>
        <w:tc>
          <w:tcPr>
            <w:tcW w:w="2787" w:type="dxa"/>
            <w:vMerge w:val="restart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可选6%-10%及以上</w:t>
            </w:r>
          </w:p>
        </w:tc>
        <w:tc>
          <w:tcPr>
            <w:tcW w:w="2787" w:type="dxa"/>
          </w:tcPr>
          <w:p>
            <w:pPr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2%-4%</w:t>
            </w:r>
          </w:p>
        </w:tc>
      </w:tr>
      <w:tr>
        <w:trPr/>
        <w:tc>
          <w:tcPr>
            <w:tcW w:w="3481" w:type="dxa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可以承受一定，甚至较大的损失</w:t>
            </w:r>
          </w:p>
        </w:tc>
        <w:tc>
          <w:tcPr>
            <w:tcW w:w="2787" w:type="dxa"/>
            <w:vMerge w:val="continue"/>
          </w:tcPr>
          <w:p>
            <w:pPr>
              <w:snapToGrid w:val="1"/>
              <w:spacing w:line="312"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</w:p>
        </w:tc>
        <w:tc>
          <w:tcPr>
            <w:tcW w:w="2787" w:type="dxa"/>
          </w:tcPr>
          <w:p>
            <w:pP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4%-6%</w:t>
            </w:r>
          </w:p>
        </w:tc>
      </w:tr>
      <w:tr>
        <w:trPr>
          <w:trHeight w:val="514"/>
        </w:trPr>
        <w:tc>
          <w:tcPr>
            <w:tcW w:w="3481" w:type="dxa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可以承受一定，甚至较大的损失</w:t>
            </w:r>
          </w:p>
        </w:tc>
        <w:tc>
          <w:tcPr>
            <w:tcW w:w="2787" w:type="dxa"/>
            <w:vMerge w:val="continue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</w:p>
        </w:tc>
        <w:tc>
          <w:tcPr>
            <w:tcW w:w="2787" w:type="dxa"/>
          </w:tcPr>
          <w:p>
            <w:pPr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6%-10%</w:t>
            </w:r>
          </w:p>
        </w:tc>
      </w:tr>
      <w:tr>
        <w:trPr>
          <w:wBefore/>
          <w:trHeight/>
        </w:trPr>
        <w:tc>
          <w:tcPr>
            <w:tcW w:w="3481" w:type="dxa"/>
          </w:tcPr>
          <w:p>
            <w:pPr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较大的投资损失</w:t>
            </w:r>
          </w:p>
        </w:tc>
        <w:tc>
          <w:tcPr>
            <w:tcW w:w="2787" w:type="dxa"/>
          </w:tcPr>
          <w:p>
            <w:pP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可选全部</w:t>
            </w:r>
          </w:p>
        </w:tc>
        <w:tc>
          <w:tcPr>
            <w:tcW w:w="2787" w:type="dxa"/>
          </w:tcPr>
          <w:p>
            <w:pP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10%及以上</w:t>
            </w:r>
          </w:p>
        </w:tc>
      </w:tr>
    </w:tbl>
    <w:p>
      <w:pPr>
        <w:pBdr/>
        <w:snapToGrid w:val="1"/>
        <w:spacing w:line="312"/>
        <w:ind/>
        <w:rPr>
          <w:rFonts w:ascii="Helvetica" w:hAnsi="Helvetica" w:cs="Helvetica"/>
          <w:i w:val="0"/>
          <w:strike w:val="0"/>
          <w:spacing w:val="0"/>
          <w:u w:val="none"/>
        </w:rPr>
      </w:pPr>
    </w:p>
    <w:p>
      <w:pPr>
        <w:pBdr>
          <w:bottom/>
        </w:pBdr>
        <w:snapToGrid w:val="1"/>
        <w:spacing w:line="312"/>
        <w:ind/>
        <w:rPr>
          <w:rFonts w:ascii="Helvetica" w:hAnsi="Helvetica" w:cs="Helvetica"/>
          <w:i w:val="0"/>
          <w:strike w:val="0"/>
          <w:spacing w:val="0"/>
          <w:u w:val="none"/>
        </w:rPr>
      </w:pPr>
      <w:r>
        <w:rPr>
          <w:rFonts w:ascii="Helvetica" w:hAnsi="Helvetica" w:cs="Helvetica"/>
          <w:i w:val="0"/>
          <w:strike w:val="0"/>
          <w:spacing w:val="0"/>
          <w:u w:val="none"/>
        </w:rPr>
        <w:t>a. 把jijintougu.tcl_cfgl_cust_info的RISK_APPETITE_NAME的字段和数据 展示页面上 不可改；字段名为：客户能承受的最大亏损</w:t>
      </w:r>
    </w:p>
    <w:p>
      <w:pPr>
        <w:snapToGrid w:val="1"/>
        <w:spacing w:line="312"/>
        <w:ind/>
        <w:rPr/>
      </w:pPr>
      <w:r>
        <w:rPr>
          <w:rFonts w:ascii="Helvetica" w:hAnsi="Helvetica" w:cs="Helvetica"/>
          <w:i w:val="0"/>
          <w:strike w:val="0"/>
          <w:spacing w:val="0"/>
          <w:u w:val="none"/>
        </w:rPr>
        <w:t>2：app那边的开发会直接取我们的数据；（董泽浩）</w:t>
      </w:r>
    </w:p>
    <w:p>
      <w:pPr>
        <w:snapToGrid w:val="1"/>
        <w:spacing w:line="312"/>
        <w:ind/>
        <w:rPr/>
      </w:pPr>
      <w:r>
        <w:rPr>
          <w:rFonts w:ascii="Helvetica" w:hAnsi="Helvetica" w:cs="Helvetica"/>
          <w:i w:val="0"/>
          <w:strike w:val="0"/>
          <w:spacing w:val="0"/>
          <w:u w:val="none"/>
        </w:rPr>
        <w:t>3：app那边会新建一个表，记录这条数据是“同意”或“驳回”；（董泽浩）</w:t>
      </w:r>
    </w:p>
    <w:p>
      <w:pPr>
        <w:pBdr>
          <w:bottom/>
        </w:pBdr>
        <w:snapToGrid w:val="1"/>
        <w:spacing w:line="312"/>
        <w:ind/>
        <w:rPr/>
      </w:pPr>
      <w:r>
        <w:rPr>
          <w:rFonts w:ascii="Helvetica" w:hAnsi="Helvetica" w:cs="Helvetica"/>
          <w:i w:val="0"/>
          <w:strike w:val="0"/>
          <w:spacing w:val="0"/>
          <w:u w:val="none"/>
        </w:rPr>
        <w:t>4：这边定时去读那张表， 同意就自动发起流程，不同意就返回修改；</w:t>
      </w:r>
    </w:p>
    <w:p>
      <w:pPr>
        <w:pStyle w:val="ablt93"/>
        <w:pBdr/>
        <w:spacing w:line="360"/>
        <w:ind/>
        <w:rPr>
          <w:rFonts w:ascii="Helvetica" w:hAnsi="Helvetica" w:cs="Helvetica"/>
          <w:i w:val="0"/>
          <w:strike w:val="0"/>
          <w:spacing w:val="0"/>
          <w:u w:val="none"/>
        </w:rPr>
      </w:pPr>
      <w:r>
        <w:rPr>
          <w:rFonts w:ascii="Helvetica" w:hAnsi="Helvetica" w:cs="Helvetica"/>
          <w:i w:val="0"/>
          <w:strike w:val="0"/>
          <w:spacing w:val="0"/>
          <w:u w:val="none"/>
        </w:rPr>
        <w:t>5：‘待确认’时 ，面板需求数据和基本信息，都不能修改；</w:t>
      </w:r>
    </w:p>
    <w:p>
      <w:pPr>
        <w:pStyle w:val="ablt93"/>
        <w:pBdr/>
        <w:spacing w:line="360"/>
        <w:ind/>
        <w:rPr/>
      </w:pPr>
      <w:r>
        <w:rPr/>
        <w:t>6：仅控制 客户需求方案流程 和 需求变更流程；不含配置变更；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w5vnkq"/>
        <w:numPr/>
        <w:rPr/>
      </w:pPr>
      <w:r>
        <w:rPr/>
        <w:t>------2025.4.23 账户kyc</w:t>
      </w:r>
    </w:p>
    <w:p>
      <w:pPr>
        <w:pStyle w:val="ablt93"/>
        <w:pBdr/>
        <w:ind/>
        <w:rPr/>
      </w:pPr>
    </w:p>
    <w:p>
      <w:pPr>
        <w:numPr/>
        <w:pBdr/>
        <w:ind/>
        <w:rPr/>
      </w:pPr>
    </w:p>
    <w:p>
      <w:pPr>
        <w:numPr/>
        <w:pBdr/>
        <w:ind/>
        <w:rPr/>
      </w:pPr>
      <w:r>
        <w:rPr/>
        <w:t>ps：  1. 还是要app确认的逻辑， 同意后再发起流程；</w:t>
      </w:r>
    </w:p>
    <w:p>
      <w:pPr>
        <w:numPr/>
        <w:pBdr/>
        <w:ind/>
        <w:rPr/>
      </w:pPr>
      <w:r>
        <w:rPr/>
        <w:t xml:space="preserve">  </w:t>
      </w:r>
    </w:p>
    <w:p>
      <w:pPr>
        <w:numPr/>
        <w:pBdr>
          <w:bottom/>
        </w:pBdr>
        <w:ind/>
        <w:rPr/>
      </w:pPr>
      <w:r>
        <w:rPr/>
        <w:t xml:space="preserve">          2. 因为风险等级和最大亏损，都直接取数， 无需再校验的逻辑；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1：客户风险等级：</w:t>
      </w:r>
    </w:p>
    <w:p>
      <w:pPr>
        <w:pStyle w:val="ablt93"/>
        <w:pBdr/>
        <w:ind/>
        <w:rPr/>
      </w:pPr>
      <w:r>
        <w:rPr/>
        <w:t xml:space="preserve"> </w:t>
      </w:r>
    </w:p>
    <w:p>
      <w:pPr>
        <w:pStyle w:val="ablt93"/>
        <w:pBdr/>
        <w:ind/>
        <w:rPr/>
      </w:pPr>
      <w:r>
        <w:rPr/>
        <w:t xml:space="preserve">  a.  直接取</w:t>
      </w:r>
      <w:r>
        <w:rPr>
          <w:i w:val="0"/>
          <w:strike w:val="0"/>
          <w:spacing w:val="0"/>
          <w:u w:val="none"/>
        </w:rPr>
        <w:t>jijintougu.tcl_cfgl_cust_info；风险等级校验CUST_RISK_LEVEL_NAME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 xml:space="preserve">    如果这张表取不到， 给个提示：“请客户现在app用户端，完成风险测评。”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---</w:t>
      </w:r>
    </w:p>
    <w:p>
      <w:pPr>
        <w:pStyle w:val="ablt93"/>
        <w:numPr/>
        <w:pBdr/>
        <w:spacing w:line="360"/>
        <w:ind/>
        <w:rPr>
          <w:i w:val="0"/>
          <w:strike w:val="0"/>
          <w:spacing w:val="0"/>
          <w:u w:val="none"/>
        </w:rPr>
      </w:pPr>
      <w:r>
        <w:rPr/>
        <w:t>1：</w:t>
      </w:r>
      <w:r>
        <w:rPr>
          <w:i w:val="0"/>
          <w:strike w:val="0"/>
          <w:spacing w:val="0"/>
          <w:u w:val="none"/>
        </w:rPr>
        <w:t>是否涉及如下另类策略的定制   ；  （必填）</w:t>
      </w:r>
    </w:p>
    <w:p>
      <w:pPr>
        <w:pStyle w:val="ablt93"/>
        <w:numPr/>
        <w:pBdr/>
        <w:spacing w:line="360"/>
        <w:ind/>
        <w:rPr/>
      </w:pPr>
      <w:r>
        <w:rPr>
          <w:i w:val="0"/>
          <w:strike w:val="0"/>
          <w:spacing w:val="0"/>
          <w:u w:val="none"/>
        </w:rPr>
        <w:t xml:space="preserve">     a. </w:t>
      </w:r>
      <w:r>
        <w:rPr/>
        <w:t xml:space="preserve"> 选择项：不涉及、本金保障型收益凭证、全天候等QIS策略、跨境QDII；</w:t>
      </w:r>
    </w:p>
    <w:p>
      <w:pPr>
        <w:pStyle w:val="ablt93"/>
        <w:numPr/>
        <w:pBdr/>
        <w:spacing w:line="360"/>
        <w:ind/>
        <w:rPr>
          <w:i w:val="0"/>
          <w:strike w:val="0"/>
          <w:spacing w:val="0"/>
          <w:u w:val="none"/>
        </w:rPr>
      </w:pPr>
    </w:p>
    <w:p>
      <w:pPr>
        <w:pStyle w:val="ablt93"/>
        <w:numPr/>
        <w:pBdr>
          <w:bottom/>
        </w:pBdr>
        <w:spacing w:line="36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   b. 非不涉及时   需填比例；</w:t>
      </w:r>
    </w:p>
    <w:p>
      <w:pPr>
        <w:pStyle w:val="ablt93"/>
        <w:pBdr/>
        <w:ind/>
        <w:rPr>
          <w:i w:val="0"/>
          <w:strike w:val="0"/>
          <w:spacing w:val="0"/>
          <w:u w:val="none"/>
        </w:rPr>
      </w:pPr>
    </w:p>
    <w:p>
      <w:pPr>
        <w:pStyle w:val="ablt93"/>
        <w:pBdr/>
        <w:ind/>
        <w:rPr/>
      </w:pPr>
    </w:p>
    <w:p>
      <w:pPr>
        <w:pStyle w:val="ablt93"/>
        <w:numPr/>
        <w:pBdr>
          <w:bottom/>
        </w:pBdr>
        <w:spacing w:line="360"/>
        <w:ind/>
        <w:rPr>
          <w:i w:val="0"/>
          <w:strike w:val="0"/>
          <w:spacing w:val="0"/>
          <w:u w:val="none"/>
        </w:rPr>
      </w:pPr>
      <w:r>
        <w:rPr/>
        <w:t>2：</w:t>
      </w:r>
      <w:r>
        <w:rPr>
          <w:i w:val="0"/>
          <w:strike w:val="0"/>
          <w:spacing w:val="0"/>
          <w:u w:val="none"/>
        </w:rPr>
        <w:t>*是否拟配置衍生品 （包含收益互换、场外期权、非本金保障型收益凭证、跨境结构性票据和外资行结构性存款）；（必填）</w:t>
      </w:r>
    </w:p>
    <w:p>
      <w:pPr>
        <w:pStyle w:val="ablt93"/>
        <w:numPr/>
        <w:pBdr/>
        <w:spacing w:line="36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   a. 是/否   </w:t>
      </w:r>
    </w:p>
    <w:p>
      <w:pPr>
        <w:pStyle w:val="ablt93"/>
        <w:numPr/>
        <w:pBdr>
          <w:bottom/>
        </w:pBdr>
        <w:spacing w:line="36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   b. =是  需填比例；（ 不用再 弹出衍生品服务那块）</w:t>
      </w:r>
    </w:p>
    <w:p>
      <w:pPr>
        <w:pStyle w:val="ablt93"/>
        <w:numPr/>
        <w:pBdr>
          <w:bottom/>
        </w:pBdr>
        <w:spacing w:line="36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   c. 和另类比例相加必须等100； </w:t>
      </w:r>
    </w:p>
    <w:p>
      <w:pPr>
        <w:pStyle w:val="ablt93"/>
        <w:pBdr/>
        <w:spacing w:line="360"/>
        <w:ind/>
        <w:rPr/>
      </w:pPr>
    </w:p>
    <w:p>
      <w:pPr>
        <w:pStyle w:val="ablt93"/>
        <w:pBdr/>
        <w:spacing w:line="360"/>
        <w:ind/>
        <w:rPr/>
      </w:pPr>
      <w:r>
        <w:rPr/>
        <w:t>3：是否需要接受投资方案告知书</w:t>
      </w:r>
      <w:r>
        <w:rPr>
          <w:i w:val="0"/>
          <w:strike w:val="0"/>
          <w:spacing w:val="0"/>
          <w:u w:val="none"/>
        </w:rPr>
        <w:t>（必填）</w:t>
      </w:r>
    </w:p>
    <w:p>
      <w:pPr>
        <w:pStyle w:val="ablt93"/>
        <w:numPr/>
        <w:pBdr/>
        <w:spacing w:line="360"/>
        <w:ind/>
        <w:rPr>
          <w:i w:val="0"/>
          <w:strike w:val="0"/>
          <w:spacing w:val="0"/>
          <w:u w:val="none"/>
        </w:rPr>
      </w:pPr>
      <w:r>
        <w:rPr/>
        <w:t xml:space="preserve">  </w:t>
      </w:r>
      <w:r>
        <w:rPr>
          <w:i w:val="0"/>
          <w:strike w:val="0"/>
          <w:spacing w:val="0"/>
          <w:u w:val="none"/>
        </w:rPr>
        <w:t xml:space="preserve">   a. 是/否     （目前只能选否）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4：方案类型</w:t>
      </w:r>
      <w:r>
        <w:rPr>
          <w:i w:val="0"/>
          <w:strike w:val="0"/>
          <w:spacing w:val="0"/>
          <w:u w:val="none"/>
        </w:rPr>
        <w:t>（必填）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 xml:space="preserve">    a. 精选方案  / 定制方案 ； 单选选；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5：</w:t>
      </w:r>
      <w:r>
        <w:rPr>
          <w:i w:val="0"/>
          <w:strike w:val="0"/>
          <w:spacing w:val="0"/>
          <w:u w:val="none"/>
        </w:rPr>
        <w:t>偏好的管理人及二级策略 （非必填）</w:t>
      </w:r>
    </w:p>
    <w:p>
      <w:pPr>
        <w:pStyle w:val="ablt93"/>
        <w:pBdr/>
        <w:ind/>
        <w:rPr/>
      </w:pPr>
      <w:r>
        <w:rPr/>
        <w:t>-</w:t>
      </w:r>
    </w:p>
    <w:p>
      <w:pPr>
        <w:pStyle w:val="ablt93"/>
        <w:pBdr/>
        <w:ind/>
        <w:rPr/>
      </w:pPr>
      <w:r>
        <w:rPr/>
        <w:t>a.选择管理人  ；自动带出二级策略，如果有多个，就用户自己选；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b. 可多选；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>
          <w:i w:val="0"/>
          <w:strike w:val="0"/>
          <w:spacing w:val="0"/>
          <w:u w:val="none"/>
        </w:rPr>
      </w:pPr>
      <w:r>
        <w:rPr/>
        <w:t xml:space="preserve">6： </w:t>
      </w:r>
      <w:r>
        <w:rPr>
          <w:i w:val="0"/>
          <w:strike w:val="0"/>
          <w:spacing w:val="0"/>
          <w:u w:val="none"/>
        </w:rPr>
        <w:t>拟选策略组合专家（4=精选方案 弹出 ）（必填）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 xml:space="preserve">a. 可多选  </w:t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i w:val="0"/>
          <w:strike w:val="0"/>
          <w:spacing w:val="0"/>
          <w:u w:val="none"/>
        </w:rPr>
      </w:pPr>
      <w:r>
        <w:rPr/>
        <w:t xml:space="preserve">b. </w:t>
      </w:r>
      <w:r>
        <w:rPr>
          <w:i w:val="0"/>
          <w:strike w:val="0"/>
          <w:spacing w:val="0"/>
          <w:u w:val="none"/>
        </w:rPr>
        <w:t>王博生、梁进；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numPr/>
        <w:pBdr/>
        <w:ind/>
        <w:rPr>
          <w:i w:val="0"/>
          <w:strike w:val="0"/>
          <w:spacing w:val="0"/>
          <w:u w:val="none"/>
        </w:rPr>
      </w:pPr>
      <w:r>
        <w:rPr/>
        <w:t>7：</w:t>
      </w:r>
      <w:r>
        <w:rPr>
          <w:i w:val="0"/>
          <w:strike w:val="0"/>
          <w:spacing w:val="0"/>
          <w:u w:val="none"/>
        </w:rPr>
        <w:t>偏好的策略组合 （4=精选方案 弹出 ）（必填）（单选）</w:t>
      </w:r>
    </w:p>
    <w:p>
      <w:pPr>
        <w:pStyle w:val="ablt93"/>
        <w:numPr/>
        <w:pBdr>
          <w:bottom/>
        </w:pBdr>
        <w:ind/>
        <w:rPr>
          <w:i w:val="0"/>
          <w:strike w:val="0"/>
          <w:spacing w:val="0"/>
          <w:u w:val="none"/>
        </w:rPr>
      </w:pPr>
    </w:p>
    <w:p>
      <w:pPr>
        <w:pStyle w:val="ablt93"/>
        <w:pBdr/>
        <w:ind/>
        <w:rPr>
          <w:color w:val="FF0000"/>
        </w:rPr>
      </w:pPr>
      <w:r>
        <w:rPr>
          <w:color w:val="FF0000"/>
        </w:rPr>
        <w:t xml:space="preserve"> a. 选择项；</w:t>
      </w:r>
    </w:p>
    <w:p>
      <w:pPr>
        <w:pStyle w:val="ablt93"/>
        <w:pBdr/>
        <w:ind/>
        <w:rPr>
          <w:i w:val="0"/>
          <w:strike w:val="0"/>
          <w:color w:val="FF0000"/>
          <w:spacing w:val="0"/>
          <w:u w:val="none"/>
        </w:rPr>
      </w:pPr>
    </w:p>
    <w:p>
      <w:pPr>
        <w:pStyle w:val="ablt93"/>
        <w:pBdr/>
        <w:ind/>
        <w:rPr>
          <w:color w:val="FF0000"/>
        </w:rPr>
      </w:pPr>
      <w:r>
        <w:rPr>
          <w:i w:val="0"/>
          <w:strike w:val="0"/>
          <w:color w:val="FF0000"/>
          <w:spacing w:val="0"/>
          <w:u w:val="none"/>
        </w:rPr>
        <w:t xml:space="preserve">  保守型组合-R2，积极型组合-R5，稳健型组合-R4，平衡型组合-R4</w:t>
      </w:r>
    </w:p>
    <w:p>
      <w:pPr>
        <w:pStyle w:val="ablt93"/>
        <w:pBdr/>
        <w:ind/>
        <w:rPr/>
      </w:pPr>
    </w:p>
    <w:p>
      <w:pPr>
        <w:pStyle w:val="ablt93"/>
        <w:pBdr/>
        <w:spacing w:line="240"/>
        <w:ind/>
        <w:rPr/>
      </w:pPr>
      <w:r>
        <w:rPr/>
        <w:t xml:space="preserve"> </w:t>
      </w:r>
    </w:p>
    <w:p>
      <w:pPr>
        <w:pStyle w:val="ablt93"/>
        <w:pBdr/>
        <w:spacing w:line="240"/>
        <w:ind/>
        <w:rPr/>
      </w:pPr>
      <w:r>
        <w:rPr/>
        <w:t>8：是否投资海外非货币资产</w:t>
      </w:r>
      <w:r>
        <w:rPr>
          <w:i w:val="0"/>
          <w:strike w:val="0"/>
          <w:spacing w:val="0"/>
          <w:u w:val="none"/>
        </w:rPr>
        <w:t>（必填）</w:t>
      </w:r>
    </w:p>
    <w:p>
      <w:pPr>
        <w:pStyle w:val="ablt93"/>
        <w:pBdr/>
        <w:spacing w:line="240"/>
        <w:ind/>
        <w:rPr/>
      </w:pPr>
    </w:p>
    <w:p>
      <w:pPr>
        <w:pStyle w:val="ablt93"/>
        <w:pBdr/>
        <w:spacing w:line="240"/>
        <w:ind/>
        <w:rPr/>
      </w:pPr>
      <w:r>
        <w:rPr/>
        <w:t xml:space="preserve">  a. 是/否     </w:t>
      </w:r>
    </w:p>
    <w:p>
      <w:pPr>
        <w:pStyle w:val="ablt93"/>
        <w:pBdr/>
        <w:spacing w:line="240"/>
        <w:ind/>
        <w:rPr/>
      </w:pPr>
    </w:p>
    <w:p>
      <w:pPr>
        <w:pStyle w:val="ablt93"/>
        <w:pBdr/>
        <w:spacing w:line="240"/>
        <w:ind/>
        <w:rPr/>
      </w:pPr>
    </w:p>
    <w:p>
      <w:pPr>
        <w:pStyle w:val="ablt93"/>
        <w:pBdr/>
        <w:spacing w:line="240"/>
        <w:ind/>
        <w:rPr>
          <w:i w:val="0"/>
          <w:strike w:val="0"/>
          <w:spacing w:val="0"/>
          <w:u w:val="none"/>
        </w:rPr>
      </w:pPr>
      <w:r>
        <w:rPr/>
        <w:t>9：</w:t>
      </w:r>
      <w:r>
        <w:rPr>
          <w:i w:val="0"/>
          <w:strike w:val="0"/>
          <w:spacing w:val="0"/>
          <w:u w:val="none"/>
        </w:rPr>
        <w:t>可投资资产（必填）</w:t>
      </w:r>
    </w:p>
    <w:p>
      <w:pPr>
        <w:pStyle w:val="ablt93"/>
        <w:pBdr/>
        <w:spacing w:line="240"/>
        <w:ind/>
        <w:rPr/>
      </w:pPr>
    </w:p>
    <w:p>
      <w:pPr>
        <w:pStyle w:val="ablt93"/>
        <w:pBdr/>
        <w:spacing w:line="240"/>
        <w:ind/>
        <w:rPr>
          <w:i w:val="0"/>
          <w:strike w:val="0"/>
          <w:spacing w:val="0"/>
          <w:u w:val="none"/>
        </w:rPr>
      </w:pPr>
      <w:r>
        <w:rPr/>
        <w:t>10：</w:t>
      </w:r>
      <w:r>
        <w:rPr>
          <w:i w:val="0"/>
          <w:strike w:val="0"/>
          <w:spacing w:val="0"/>
          <w:u w:val="none"/>
        </w:rPr>
        <w:t>投资期限（必填）</w:t>
      </w:r>
    </w:p>
    <w:p>
      <w:pPr>
        <w:pStyle w:val="ablt93"/>
        <w:pBdr/>
        <w:spacing w:line="240"/>
        <w:ind/>
        <w:rPr/>
      </w:pPr>
    </w:p>
    <w:p>
      <w:pPr>
        <w:pBdr/>
        <w:ind/>
        <w:rPr/>
      </w:pPr>
    </w:p>
    <w:p>
      <w:pPr>
        <w:rPr/>
      </w:pPr>
      <w:r>
        <w:rPr/>
        <w:t>11：客户能承受的最大亏损</w:t>
      </w:r>
      <w:r>
        <w:rPr>
          <w:i w:val="0"/>
          <w:strike w:val="0"/>
          <w:spacing w:val="0"/>
          <w:u w:val="none"/>
        </w:rPr>
        <w:t>（必填）</w:t>
      </w:r>
    </w:p>
    <w:p>
      <w:pPr>
        <w:pStyle w:val="ablt93"/>
        <w:numPr/>
        <w:pBdr/>
        <w:spacing w:line="360"/>
        <w:ind/>
        <w:rPr/>
      </w:pPr>
    </w:p>
    <w:p>
      <w:pPr>
        <w:pStyle w:val="ablt93"/>
        <w:numPr/>
        <w:pBdr/>
        <w:spacing w:line="360"/>
        <w:ind/>
        <w:rPr>
          <w:i w:val="0"/>
          <w:strike w:val="0"/>
          <w:spacing w:val="0"/>
          <w:u w:val="none"/>
        </w:rPr>
      </w:pPr>
      <w:r>
        <w:rPr/>
        <w:t>读：</w:t>
      </w:r>
      <w:r>
        <w:rPr>
          <w:i w:val="0"/>
          <w:strike w:val="0"/>
          <w:spacing w:val="0"/>
          <w:u w:val="none"/>
        </w:rPr>
        <w:t>jijintougu.tcl_cfgl_cust_info   RISK_APPETITE_NAME;</w:t>
      </w:r>
    </w:p>
    <w:p>
      <w:pPr>
        <w:pStyle w:val="ablt93"/>
        <w:numPr/>
        <w:pBdr/>
        <w:spacing w:line="360"/>
        <w:ind/>
        <w:rPr/>
      </w:pPr>
    </w:p>
    <w:p>
      <w:pPr>
        <w:pStyle w:val="ablt93"/>
        <w:numPr/>
        <w:pBdr>
          <w:bottom/>
        </w:pBdr>
        <w:spacing w:line="360"/>
        <w:ind/>
        <w:rPr/>
      </w:pPr>
      <w:r>
        <w:rPr/>
        <w:t>12：客户可承受的最大损失水平</w:t>
      </w:r>
    </w:p>
    <w:p>
      <w:pPr>
        <w:pBdr/>
        <w:ind w:left="336"/>
        <w:rPr/>
      </w:pPr>
      <w:r>
        <w:rPr/>
        <w:t>根据1风险等级带出可选值/单选（专业投资者不控制选项）</w:t>
      </w:r>
    </w:p>
    <w:p>
      <w:pPr>
        <w:pBdr/>
        <w:ind w:left="0"/>
        <w:rPr/>
      </w:pPr>
    </w:p>
    <w:p>
      <w:pPr>
        <w:pBdr/>
        <w:ind w:left="0"/>
        <w:rPr/>
      </w:pPr>
    </w:p>
    <w:p>
      <w:pPr>
        <w:numPr/>
        <w:ind/>
        <w:rPr/>
      </w:pPr>
      <w:r>
        <w:rPr/>
        <w:t>13：客户希望获取的收益水平</w:t>
      </w:r>
      <w:r>
        <w:rPr>
          <w:i w:val="0"/>
          <w:strike w:val="0"/>
          <w:spacing w:val="0"/>
          <w:u w:val="none"/>
        </w:rPr>
        <w:t>（必填）</w:t>
      </w:r>
    </w:p>
    <w:p>
      <w:pPr>
        <w:numPr/>
        <w:pBdr/>
        <w:ind/>
        <w:rPr/>
      </w:pPr>
    </w:p>
    <w:p>
      <w:pPr>
        <w:numPr/>
        <w:pBdr>
          <w:bottom/>
        </w:pBdr>
        <w:ind w:left="336"/>
        <w:rPr/>
      </w:pPr>
      <w:r>
        <w:rPr/>
        <w:t>a.  根据12损失水平带出带出可选值/单选（专业投资者不控制选项）</w:t>
      </w:r>
    </w:p>
    <w:p>
      <w:pPr>
        <w:pBdr>
          <w:bottom/>
        </w:pBdr>
        <w:ind/>
        <w:rPr/>
      </w:pPr>
    </w:p>
    <w:tbl>
      <w:tblPr>
        <w:tblStyle w:val="x2bstg"/>
        <w:tblLayout w:type="fixed"/>
        <w:tblLook/>
      </w:tblPr>
      <w:tblGrid>
        <w:gridCol w:w="1453"/>
        <w:gridCol w:w="3425"/>
        <w:gridCol w:w="4413"/>
      </w:tblGrid>
      <w:tr>
        <w:trPr>
          <w:wBefore/>
          <w:trHeight/>
        </w:trPr>
        <w:tc>
          <w:tcPr>
            <w:tcW w:w="1453" w:type="dxa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1风险等级</w:t>
            </w:r>
          </w:p>
        </w:tc>
        <w:tc>
          <w:tcPr>
            <w:tcW w:w="3425" w:type="dxa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12损失水平</w:t>
            </w:r>
          </w:p>
        </w:tc>
        <w:tc>
          <w:tcPr>
            <w:tcW w:w="4413" w:type="dxa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13收益水平</w:t>
            </w:r>
          </w:p>
        </w:tc>
      </w:tr>
      <w:tr>
        <w:trPr>
          <w:wBefore/>
          <w:trHeight w:val="788"/>
        </w:trPr>
        <w:tc>
          <w:tcPr>
            <w:tcW w:w="1453" w:type="dxa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保守型</w:t>
            </w:r>
          </w:p>
        </w:tc>
        <w:tc>
          <w:tcPr>
            <w:tcW w:w="3425" w:type="dxa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0-2%</w:t>
            </w:r>
          </w:p>
        </w:tc>
        <w:tc>
          <w:tcPr>
            <w:tcW w:w="4413" w:type="dxa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0-3%</w:t>
            </w:r>
          </w:p>
        </w:tc>
      </w:tr>
      <w:tr>
        <w:trPr>
          <w:wBefore/>
          <w:trHeight/>
        </w:trPr>
        <w:tc>
          <w:tcPr>
            <w:tcW w:w="1453" w:type="dxa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/>
            </w:pPr>
            <w:r>
              <w:rPr/>
              <w:t>谨慎型</w:t>
            </w:r>
          </w:p>
        </w:tc>
        <w:tc>
          <w:tcPr>
            <w:tcW w:w="3425" w:type="dxa"/>
            <w:tcBorders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0-2%，2-4%</w:t>
            </w:r>
          </w:p>
        </w:tc>
        <w:tc>
          <w:tcPr>
            <w:tcW w:w="4413" w:type="dxa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0-3%，3-5%</w:t>
            </w:r>
          </w:p>
        </w:tc>
      </w:tr>
      <w:tr>
        <w:trPr>
          <w:wBefore/>
          <w:trHeight/>
        </w:trPr>
        <w:tc>
          <w:tcPr>
            <w:tcW w:w="1453" w:type="dxa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稳健型</w:t>
            </w:r>
          </w:p>
        </w:tc>
        <w:tc>
          <w:tcPr>
            <w:tcW w:w="3425" w:type="dxa"/>
            <w:tcBorders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0-2%，2-4%，4-6%</w:t>
            </w:r>
          </w:p>
        </w:tc>
        <w:tc>
          <w:tcPr>
            <w:tcW w:w="4413" w:type="dxa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0-3%，3-5%，6-10%</w:t>
            </w:r>
          </w:p>
        </w:tc>
      </w:tr>
      <w:tr>
        <w:trPr>
          <w:wBefore/>
          <w:trHeight w:val="514"/>
        </w:trPr>
        <w:tc>
          <w:tcPr>
            <w:tcW w:w="1453" w:type="dxa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积极型</w:t>
            </w:r>
          </w:p>
        </w:tc>
        <w:tc>
          <w:tcPr>
            <w:tcW w:w="3425" w:type="dxa"/>
            <w:tcBorders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0-2%，2-4%，4-6%，6-10%</w:t>
            </w:r>
          </w:p>
        </w:tc>
        <w:tc>
          <w:tcPr>
            <w:tcW w:w="4413" w:type="dxa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0-3%，3-5%，6-10%，10-15%</w:t>
            </w:r>
          </w:p>
        </w:tc>
      </w:tr>
      <w:tr>
        <w:trPr>
          <w:wBefore/>
          <w:trHeight w:val="514"/>
        </w:trPr>
        <w:tc>
          <w:tcPr>
            <w:tcW w:w="1453" w:type="dxa"/>
          </w:tcPr>
          <w:p>
            <w:pPr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激进型</w:t>
            </w:r>
          </w:p>
        </w:tc>
        <w:tc>
          <w:tcPr>
            <w:tcW w:w="3425" w:type="dxa"/>
            <w:tcBorders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0-2%，2-4%，4-6%，6-10%，10%</w:t>
            </w:r>
          </w:p>
        </w:tc>
        <w:tc>
          <w:tcPr>
            <w:tcW w:w="4413" w:type="dxa"/>
          </w:tcPr>
          <w:p>
            <w:pPr>
              <w:numPr/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0-3%，3-5%，6-10%，10-15%</w:t>
            </w:r>
          </w:p>
          <w:p>
            <w:pPr>
              <w:pBdr>
                <w:bottom/>
              </w:pBdr>
              <w:snapToGrid w:val="1"/>
              <w:spacing w:line="312"/>
              <w:ind/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</w:pPr>
            <w:r>
              <w:rPr>
                <w:rFonts w:ascii="Helvetica" w:hAnsi="Helvetica" w:cs="Helvetica"/>
                <w:i w:val="0"/>
                <w:strike w:val="0"/>
                <w:spacing w:val="0"/>
                <w:u w:val="none"/>
              </w:rPr>
              <w:t>，15%</w:t>
            </w:r>
          </w:p>
        </w:tc>
      </w:tr>
    </w:tbl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Style w:val="w5vnkq"/>
        <w:numPr/>
        <w:pBdr>
          <w:bottom/>
        </w:pBdr>
        <w:ind/>
        <w:rPr/>
      </w:pPr>
      <w:r>
        <w:rPr>
          <w:color w:val="333333"/>
        </w:rPr>
        <w:t xml:space="preserve">2025.3.17 </w:t>
      </w:r>
      <w:r>
        <w:rPr/>
        <w:t>陈心怡</w:t>
      </w:r>
    </w:p>
    <w:p>
      <w:pPr>
        <w:pBdr/>
        <w:ind/>
        <w:rPr/>
      </w:pPr>
    </w:p>
    <w:p>
      <w:pPr>
        <w:numPr>
          <w:ilvl w:val="0"/>
          <w:numId w:val="2"/>
        </w:numPr>
        <w:pBdr/>
        <w:ind/>
        <w:rPr/>
      </w:pPr>
      <w:r>
        <w:rPr/>
        <w:t>70岁以上，细分类型只能选：多策略-保守；多策略-稳健；单策略-固收；多策略-平衡（lhq）、---</w:t>
      </w:r>
      <w:r>
        <w:rPr>
          <w:i w:val="0"/>
          <w:strike w:val="0"/>
          <w:spacing w:val="0"/>
          <w:u w:val="none"/>
        </w:rPr>
        <w:t>优先</w:t>
      </w:r>
    </w:p>
    <w:p>
      <w:pPr>
        <w:pBdr/>
        <w:ind w:left="336"/>
        <w:rPr/>
      </w:pPr>
    </w:p>
    <w:p>
      <w:pPr>
        <w:pBdr/>
        <w:ind w:left="0"/>
        <w:rPr>
          <w:i w:val="0"/>
          <w:strike w:val="0"/>
          <w:spacing w:val="0"/>
          <w:u w:val="none"/>
        </w:rPr>
      </w:pPr>
    </w:p>
    <w:p>
      <w:pPr>
        <w:pBdr/>
        <w:ind w:left="0"/>
        <w:rPr>
          <w:i w:val="0"/>
          <w:strike w:val="0"/>
          <w:spacing w:val="0"/>
          <w:u w:val="none"/>
        </w:rPr>
      </w:pPr>
    </w:p>
    <w:p>
      <w:pPr>
        <w:numPr>
          <w:ilvl w:val="0"/>
          <w:numId w:val="2"/>
        </w:num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  机构;上市公司加校验---优先（zg）强校验；个人 弱校验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针对机构客户新增强校验，若校验不通过，则无法新增：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（1）当客户”是否是上市公司“=”是“的时候，”上市公司代码“为必填字段，此时用该字段匹配wind.asharedescription的s_info_code字段，若是匹配不到，则弹出”查询不到此上市公司，请修改后提交“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（2）当客户”是否是上市公司“=”是“+”是否上市子公司“=”是“用”客户名称“匹配wind.asharecompanyholdshares的S_CAPITALOPERATION_COMPANYNAME字段，且RELATIONS_CODE=2，匹配不到，则弹出”查询不到此客户名称，请修改后提交“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针对个人客户新增弱校验，若校验不通过，则仅弹窗提示：</w:t>
      </w:r>
    </w:p>
    <w:p>
      <w:pPr>
        <w:numPr/>
        <w:pBdr/>
        <w:snapToGrid w:val="1"/>
        <w:spacing w:line="240"/>
        <w:ind w:left="336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当客户填写了”上市公司代码“时，用该字段匹配wind.asharedescription的s_info_code字段，若是匹配不到，则弹出提示</w:t>
      </w:r>
    </w:p>
    <w:p>
      <w:pPr>
        <w:numPr/>
        <w:pBdr>
          <w:bottom/>
        </w:pBdr>
        <w:snapToGrid w:val="1"/>
        <w:spacing w:line="240"/>
        <w:ind w:left="336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-----------.</w:t>
      </w:r>
    </w:p>
    <w:p>
      <w:pPr>
        <w:numPr/>
        <w:pBdr/>
        <w:snapToGrid w:val="1"/>
        <w:spacing w:line="240"/>
        <w:ind w:left="336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个人：wind.asharedescription. s_info_code</w:t>
      </w:r>
    </w:p>
    <w:p>
      <w:pPr>
        <w:numPr/>
        <w:pBdr/>
        <w:snapToGrid w:val="1"/>
        <w:spacing w:line="240"/>
        <w:ind w:left="336"/>
        <w:rPr>
          <w:i w:val="0"/>
          <w:strike w:val="0"/>
          <w:spacing w:val="0"/>
          <w:u w:val="none"/>
        </w:rPr>
      </w:pPr>
    </w:p>
    <w:p>
      <w:pPr>
        <w:snapToGrid w:val="1"/>
        <w:spacing w:line="240"/>
        <w:ind w:left="0"/>
        <w:rPr/>
      </w:pPr>
    </w:p>
    <w:p>
      <w:pPr>
        <w:numPr>
          <w:ilvl w:val="0"/>
          <w:numId w:val="2"/>
        </w:numPr>
        <w:pBdr>
          <w:bottom/>
        </w:pBdr>
        <w:snapToGrid w:val="1"/>
        <w:spacing w:line="240"/>
        <w:ind/>
        <w:rPr>
          <w:i w:val="0"/>
          <w:strike w:val="0"/>
          <w:color w:val="FF000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  客户风险等级&amp;收益回撤一致校验 ----优先  ，</w:t>
      </w:r>
      <w:r>
        <w:rPr>
          <w:i w:val="0"/>
          <w:strike w:val="0"/>
          <w:color w:val="FF0000"/>
          <w:spacing w:val="0"/>
          <w:u w:val="none"/>
        </w:rPr>
        <w:t>做了，但是无法区分x和y ，暂时不上线；</w:t>
      </w:r>
    </w:p>
    <w:p>
      <w:pPr>
        <w:pBdr/>
        <w:snapToGrid w:val="1"/>
        <w:spacing w:line="240"/>
        <w:ind w:left="336"/>
        <w:rPr/>
      </w:pPr>
    </w:p>
    <w:p>
      <w:pPr>
        <w:snapToGrid w:val="1"/>
        <w:spacing w:line="240"/>
        <w:ind w:left="336"/>
        <w:rPr/>
      </w:pPr>
    </w:p>
    <w:p>
      <w:pPr>
        <w:numPr>
          <w:ilvl w:val="0"/>
          <w:numId w:val="3"/>
        </w:numPr>
        <w:pBdr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  上市公司回款时间提醒 ---优先</w:t>
      </w:r>
    </w:p>
    <w:p>
      <w:pPr>
        <w:pBdr/>
        <w:ind w:left="336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</w:t>
      </w:r>
    </w:p>
    <w:p>
      <w:pPr>
        <w:pBdr/>
        <w:ind w:left="336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a. 是否年底回款 = 改成 是否有回款期限， “=是” 时</w:t>
      </w:r>
    </w:p>
    <w:p>
      <w:pPr>
        <w:pBdr/>
        <w:ind w:left="336"/>
        <w:rPr>
          <w:i w:val="0"/>
          <w:strike w:val="0"/>
          <w:spacing w:val="0"/>
          <w:u w:val="none"/>
        </w:rPr>
      </w:pPr>
    </w:p>
    <w:p>
      <w:pPr>
        <w:pBdr/>
        <w:ind w:left="336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b. 新增字段，“回款时间”，必填，年月日；</w:t>
      </w:r>
    </w:p>
    <w:p>
      <w:pPr>
        <w:pBdr/>
        <w:ind w:left="336"/>
        <w:rPr>
          <w:i w:val="0"/>
          <w:strike w:val="0"/>
          <w:spacing w:val="0"/>
          <w:u w:val="none"/>
        </w:rPr>
      </w:pPr>
    </w:p>
    <w:p>
      <w:pPr>
        <w:pBdr/>
        <w:ind w:left="336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c. 回款时间到期前一个月，两周，触发bpm+邮件提醒：</w:t>
      </w:r>
    </w:p>
    <w:p>
      <w:pPr>
        <w:pBdr/>
        <w:ind w:left="336"/>
        <w:rPr>
          <w:i w:val="0"/>
          <w:strike w:val="0"/>
          <w:spacing w:val="0"/>
          <w:u w:val="none"/>
        </w:rPr>
      </w:pPr>
    </w:p>
    <w:p>
      <w:pPr>
        <w:pBdr/>
        <w:ind w:left="336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全委提醒：客户经理、投资经理、市场对接人</w:t>
      </w:r>
    </w:p>
    <w:p>
      <w:pPr>
        <w:pBdr/>
        <w:ind w:left="336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半委提醒：客户经理、投后服务专家、市场对接人</w:t>
      </w:r>
    </w:p>
    <w:p>
      <w:pPr>
        <w:pBdr/>
        <w:ind w:left="336"/>
        <w:rPr>
          <w:i w:val="0"/>
          <w:strike w:val="0"/>
          <w:spacing w:val="0"/>
          <w:u w:val="none"/>
        </w:rPr>
      </w:pPr>
    </w:p>
    <w:p>
      <w:pPr>
        <w:pBdr/>
        <w:ind w:left="336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内容：客户临近回款期限，请尽快进行资金安排</w:t>
      </w:r>
    </w:p>
    <w:p>
      <w:pPr>
        <w:pBdr/>
        <w:ind w:left="336"/>
        <w:rPr>
          <w:i w:val="0"/>
          <w:strike w:val="0"/>
          <w:spacing w:val="0"/>
          <w:u w:val="none"/>
        </w:rPr>
      </w:pPr>
    </w:p>
    <w:p>
      <w:pPr>
        <w:pBdr/>
        <w:ind w:left="336"/>
        <w:rPr>
          <w:i w:val="0"/>
          <w:strike w:val="0"/>
          <w:spacing w:val="0"/>
          <w:u w:val="none"/>
        </w:rPr>
      </w:pPr>
    </w:p>
    <w:p>
      <w:pPr>
        <w:pBdr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-------.</w:t>
      </w:r>
    </w:p>
    <w:p>
      <w:pPr>
        <w:pBdr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    </w:t>
      </w:r>
    </w:p>
    <w:p>
      <w:pPr>
        <w:pBdr/>
        <w:ind w:left="0"/>
        <w:rPr>
          <w:i w:val="0"/>
          <w:strike w:val="0"/>
          <w:spacing w:val="0"/>
          <w:u w:val="none"/>
        </w:rPr>
      </w:pPr>
    </w:p>
    <w:p>
      <w:pPr>
        <w:numPr>
          <w:ilvl w:val="0"/>
          <w:numId w:val="4"/>
        </w:numPr>
        <w:pBdr>
          <w:bottom/>
        </w:pBdr>
        <w:snapToGrid w:val="1"/>
        <w:spacing w:line="240"/>
        <w:ind/>
        <w:rPr>
          <w:i w:val="0"/>
          <w:strike w:val="0"/>
          <w:color w:val="00000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客户风险等级&amp;收益回撤一致校验 ----优先  ，</w:t>
      </w:r>
      <w:r>
        <w:rPr>
          <w:i w:val="0"/>
          <w:strike w:val="0"/>
          <w:color w:val="000000"/>
          <w:spacing w:val="0"/>
          <w:u w:val="none"/>
        </w:rPr>
        <w:t>做了，但是无法区分x和y ，暂时不上线；（白怡文）</w:t>
      </w:r>
    </w:p>
    <w:p>
      <w:pPr>
        <w:pBdr/>
        <w:ind w:left="336"/>
        <w:rPr>
          <w:i w:val="0"/>
          <w:strike w:val="0"/>
          <w:spacing w:val="0"/>
          <w:u w:val="none"/>
        </w:rPr>
      </w:pPr>
    </w:p>
    <w:p>
      <w:pPr>
        <w:numPr>
          <w:ilvl w:val="0"/>
          <w:numId w:val="4"/>
        </w:numPr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app校验逻辑 ， 做了，但是y的不能在君弘确认，暂时不上线；</w:t>
      </w:r>
      <w:r>
        <w:rPr>
          <w:i w:val="0"/>
          <w:strike w:val="0"/>
          <w:color w:val="000000"/>
          <w:spacing w:val="0"/>
          <w:u w:val="none"/>
        </w:rPr>
        <w:t>（白怡文）</w:t>
      </w:r>
    </w:p>
    <w:p>
      <w:pPr>
        <w:pBdr/>
        <w:ind w:left="0"/>
        <w:rPr>
          <w:i w:val="0"/>
          <w:strike w:val="0"/>
          <w:spacing w:val="0"/>
          <w:u w:val="none"/>
        </w:rPr>
      </w:pPr>
    </w:p>
    <w:p>
      <w:pPr>
        <w:numPr>
          <w:ilvl w:val="0"/>
          <w:numId w:val="4"/>
        </w:num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  显示赎回费率-（证券资管）</w:t>
      </w:r>
    </w:p>
    <w:p>
      <w:pPr>
        <w:numPr/>
        <w:pBdr/>
        <w:snapToGrid w:val="1"/>
        <w:spacing w:line="240"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           新增组件十九，新增展示字段：赎回费率；不可修改</w:t>
      </w:r>
    </w:p>
    <w:p>
      <w:pPr>
        <w:numPr/>
        <w:pBdr>
          <w:bottom/>
        </w:pBdr>
        <w:snapToGrid w:val="1"/>
        <w:spacing w:line="240"/>
        <w:ind w:left="672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取值地方：pro.sk_input_fund_parameter 赎回费；没有的空着；</w:t>
      </w:r>
    </w:p>
    <w:p>
      <w:pPr>
        <w:pBdr/>
        <w:ind w:left="336"/>
        <w:rPr>
          <w:i w:val="0"/>
          <w:strike w:val="0"/>
          <w:spacing w:val="0"/>
          <w:u w:val="none"/>
        </w:rPr>
      </w:pPr>
    </w:p>
    <w:sectPr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0">
    <w:lvl w:ilvl="2">
      <w:start w:val="1"/>
      <w:numFmt w:val="lowerRoman"/>
      <w:lvlText w:val="%3."/>
      <w:lvlJc w:val="left"/>
      <w:pPr>
        <w:ind w:left="1552" w:hanging="336"/>
      </w:pPr>
    </w:lvl>
    <w:lvl w:ilvl="5">
      <w:start w:val="1"/>
      <w:numFmt w:val="lowerRoman"/>
      <w:lvlText w:val="%6."/>
      <w:lvlJc w:val="left"/>
      <w:pPr>
        <w:ind w:left="2872" w:hanging="336"/>
      </w:pPr>
    </w:lvl>
    <w:lvl w:ilvl="7">
      <w:start w:val="1"/>
      <w:numFmt w:val="lowerLetter"/>
      <w:lvlText w:val="%8."/>
      <w:lvlJc w:val="left"/>
      <w:pPr>
        <w:ind w:left="3752" w:hanging="336"/>
      </w:pPr>
    </w:lvl>
    <w:lvl w:ilvl="1">
      <w:start w:val="1"/>
      <w:numFmt w:val="lowerLetter"/>
      <w:lvlText w:val="%2."/>
      <w:lvlJc w:val="left"/>
      <w:pPr>
        <w:ind w:left="1112" w:hanging="336"/>
      </w:pPr>
    </w:lvl>
    <w:lvl w:ilvl="6">
      <w:start w:val="1"/>
      <w:numFmt w:val="decimal"/>
      <w:lvlText w:val="%7."/>
      <w:lvlJc w:val="left"/>
      <w:pPr>
        <w:ind w:left="3312" w:hanging="336"/>
      </w:pPr>
    </w:lvl>
    <w:lvl w:ilvl="8">
      <w:start w:val="1"/>
      <w:numFmt w:val="lowerRoman"/>
      <w:lvlText w:val="%9."/>
      <w:lvlJc w:val="left"/>
      <w:pPr>
        <w:ind w:left="4192" w:hanging="336"/>
      </w:pPr>
    </w:lvl>
    <w:lvl w:ilvl="4">
      <w:start w:val="1"/>
      <w:numFmt w:val="lowerLetter"/>
      <w:lvlText w:val="%5."/>
      <w:lvlJc w:val="left"/>
      <w:pPr>
        <w:ind w:left="2432" w:hanging="336"/>
      </w:pPr>
    </w:lvl>
    <w:lvl w:ilvl="0">
      <w:start w:val="1"/>
      <w:numFmt w:val="decimal"/>
      <w:lvlText w:val="%1."/>
      <w:lvlJc w:val="left"/>
      <w:pPr>
        <w:ind w:left="672" w:hanging="336" w:firstLine="0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992" w:hanging="336"/>
      </w:pPr>
    </w:lvl>
  </w:abstractNum>
  <w:abstractNum w:abstractNumId="1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0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">
    <w:lvl w:ilvl="3">
      <w:start w:val="1"/>
      <w:numFmt w:val="upperLetter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upperLetter"/>
      <w:lvlText w:val="%1."/>
      <w:lvlJc w:val="left"/>
      <w:pPr>
        <w:tabs/>
        <w:ind w:left="336" w:hanging="336"/>
      </w:pPr>
      <w:rPr/>
    </w:lvl>
    <w:lvl w:ilvl="6">
      <w:start w:val="1"/>
      <w:numFmt w:val="upperLetter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num w:numId="2">
    <w:abstractNumId w:val="2"/>
  </w:num>
  <w:num w:numId="3">
    <w:abstractNumId w:val="1"/>
  </w:num>
  <w:num w:numId="1">
    <w:abstractNumId w:val="3"/>
  </w:num>
  <w:num w:numId="4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240" w:lineRule="auto"/>
      </w:pPr>
    </w:pPrDefault>
  </w:docDefaults>
  <w:latentStyles w:defLockedState="0" w:defUIPriority="0" w:defSemiHidden="0" w:defUnhideWhenUsed="0" w:defQFormat="0" w:count="376">
    <w:lsdException w:name="TOC Heading" w:uiPriority="39" w:semiHidden="1" w:unhideWhenUsed="1" w:qFormat="1"/>
    <w:lsdException w:name="Grid Table 2 Accent 6" w:uiPriority="47"/>
    <w:lsdException w:name="List Table 3 Accent 3" w:uiPriority="48"/>
    <w:lsdException w:name="Grid Table 4 Accent 1" w:uiPriority="49"/>
    <w:lsdException w:name="List Paragraph" w:uiPriority="99"/>
    <w:lsdException w:name="heading 6" w:qFormat="1"/>
    <w:lsdException w:name="Intense Reference" w:uiPriority="32" w:qFormat="1"/>
    <w:lsdException w:name="toc 1" w:uiPriority="99"/>
    <w:lsdException w:name="Medium Shading 2 Accent 1" w:uiPriority="64"/>
    <w:lsdException w:name="List Table 3 Accent 1" w:uiPriority="48"/>
    <w:lsdException w:name="heading 9" w:unhideWhenUsed="1" w:qFormat="1"/>
    <w:lsdException w:name="Table Contemporary" w:semiHidden="1" w:unhideWhenUsed="1"/>
    <w:lsdException w:name="List Table 4 Accent 6" w:uiPriority="49"/>
    <w:lsdException w:name="HTML Preformatted" w:uiPriority="99"/>
    <w:lsdException w:name="List Table 5 Dark Accent 3" w:uiPriority="50"/>
    <w:lsdException w:name="Table Grid 4" w:semiHidden="1" w:unhideWhenUsed="1"/>
    <w:lsdException w:name="Plain Table 4" w:uiPriority="44"/>
    <w:lsdException w:name="List Table 7 Colorful Accent 1" w:uiPriority="52"/>
    <w:lsdException w:name="Light Shading" w:uiPriority="60"/>
    <w:lsdException w:name="List Table 6 Colorful Accent 2" w:uiPriority="51"/>
    <w:lsdException w:name="Unresolved Mention" w:uiPriority="99" w:semiHidden="1" w:unhideWhenUsed="1"/>
    <w:lsdException w:name="Medium Grid 2 Accent 4" w:uiPriority="68"/>
    <w:lsdException w:name="Light Shading Accent 3" w:uiPriority="60"/>
    <w:lsdException w:name="Light List" w:uiPriority="61"/>
    <w:lsdException w:name="Mention" w:uiPriority="99" w:semiHidden="1" w:unhideWhenUsed="1"/>
    <w:lsdException w:name="List Table 2 Accent 3" w:uiPriority="47"/>
    <w:lsdException w:name="Table Columns 5" w:semiHidden="1" w:unhideWhenUsed="1"/>
    <w:lsdException w:name="Medium List 2" w:uiPriority="66"/>
    <w:lsdException w:name="Medium Shading 1 Accent 2" w:uiPriority="63"/>
    <w:lsdException w:name="Hashtag" w:uiPriority="99" w:semiHidden="1" w:unhideWhenUsed="1"/>
    <w:lsdException w:name="Grid Table 5 Dark Accent 6" w:uiPriority="50"/>
    <w:lsdException w:name="Light List Accent 5" w:uiPriority="61"/>
    <w:lsdException w:name="Medium Grid 3 Accent 1" w:uiPriority="69"/>
    <w:lsdException w:name="Table Colorful 2" w:semiHidden="1" w:unhideWhenUsed="1"/>
    <w:lsdException w:name="Table Professional" w:semiHidden="1" w:unhideWhenUsed="1"/>
    <w:lsdException w:name="Grid Table 6 Colorful" w:uiPriority="51"/>
    <w:lsdException w:name="Grid Table 4 Accent 2" w:uiPriority="49"/>
    <w:lsdException w:name="Medium List 2 Accent 1" w:uiPriority="66"/>
    <w:lsdException w:name="Colorful Shading Accent 6" w:uiPriority="71"/>
    <w:lsdException w:name="heading 3" w:qFormat="1"/>
    <w:lsdException w:name="List Table 6 Colorful" w:uiPriority="51"/>
    <w:lsdException w:name="Medium Shading 2 Accent 3" w:uiPriority="64"/>
    <w:lsdException w:name="toc 5" w:uiPriority="99"/>
    <w:lsdException w:name="Table Grid" w:qFormat="1"/>
    <w:lsdException w:name="List Table 2 Accent 2" w:uiPriority="47"/>
    <w:lsdException w:name="Grid Table 3" w:uiPriority="48"/>
    <w:lsdException w:name="List Table 2 Accent 6" w:uiPriority="47"/>
    <w:lsdException w:name="List Table 1 Light Accent 6" w:uiPriority="46"/>
    <w:lsdException w:name="Light Grid Accent 6" w:uiPriority="62"/>
    <w:lsdException w:name="Grid Table 3 Accent 4" w:uiPriority="48"/>
    <w:lsdException w:name="List Table 5 Dark Accent 6" w:uiPriority="50"/>
    <w:lsdException w:name="Colorful List Accent 5" w:uiPriority="72"/>
    <w:lsdException w:name="Table List 8" w:semiHidden="1" w:unhideWhenUsed="1"/>
    <w:lsdException w:name="toc 4" w:uiPriority="99"/>
    <w:lsdException w:name="Plain Table 3" w:uiPriority="43"/>
    <w:lsdException w:name="Table Grid 2" w:semiHidden="1" w:unhideWhenUsed="1"/>
    <w:lsdException w:name="Grid Table 4" w:uiPriority="49"/>
    <w:lsdException w:name="HTML Definition" w:uiPriority="99"/>
    <w:lsdException w:name="List Table 5 Dark Accent 4" w:uiPriority="50"/>
    <w:lsdException w:name="Colorful List Accent 1" w:uiPriority="72"/>
    <w:lsdException w:name="Grid Table 4 Accent 3" w:uiPriority="49"/>
    <w:lsdException w:name="List Table 7 Colorful Accent 2" w:uiPriority="52"/>
    <w:lsdException w:name="Colorful List Accent 6" w:uiPriority="72"/>
    <w:lsdException w:name="Smart Link" w:uiPriority="99" w:semiHidden="1" w:unhideWhenUsed="1"/>
    <w:lsdException w:name="Table Classic 4" w:semiHidden="1" w:unhideWhenUsed="1"/>
    <w:lsdException w:name="Grid Table 3 Accent 5" w:uiPriority="48"/>
    <w:lsdException w:name="Medium Shading 1 Accent 3" w:uiPriority="63"/>
    <w:lsdException w:name="HTML Acronym" w:uiPriority="99"/>
    <w:lsdException w:name="Grid Table 6 Colorful Accent 3" w:uiPriority="51"/>
    <w:lsdException w:name="List Table 1 Light" w:uiPriority="46"/>
    <w:lsdException w:name="Light Grid Accent 3" w:uiPriority="62"/>
    <w:lsdException w:name="Grid Table 1 Light Accent 6" w:uiPriority="46"/>
    <w:lsdException w:name="Table Simple 2" w:semiHidden="1" w:unhideWhenUsed="1"/>
    <w:lsdException w:name="List Table 2 Accent 1" w:uiPriority="47"/>
    <w:lsdException w:name="List Table 7 Colorful Accent 4" w:uiPriority="52"/>
    <w:lsdException w:name="Colorful List Accent 4" w:uiPriority="72"/>
    <w:lsdException w:name="toc 6" w:uiPriority="99"/>
    <w:lsdException w:name="Light Grid" w:uiPriority="62"/>
    <w:lsdException w:name="Emphasis" w:qFormat="1"/>
    <w:lsdException w:name="Grid Table 1 Light Accent 1" w:uiPriority="46"/>
    <w:lsdException w:name="Grid Table 2" w:uiPriority="47"/>
    <w:lsdException w:name="List Table 6 Colorful Accent 6" w:uiPriority="51"/>
    <w:lsdException w:name="Grid Table 5 Dark Accent 3" w:uiPriority="50"/>
    <w:lsdException w:name="Grid Table 3 Accent 1" w:uiPriority="48"/>
    <w:lsdException w:name="Grid Table 2 Accent 2" w:uiPriority="47"/>
    <w:lsdException w:name="Revision" w:uiPriority="99" w:semiHidden="1"/>
    <w:lsdException w:name="Medium Grid 1 Accent 2" w:uiPriority="67"/>
    <w:lsdException w:name="List Table 7 Colorful Accent 6" w:uiPriority="52"/>
    <w:lsdException w:name="Table Web 1" w:semiHidden="1" w:unhideWhenUsed="1"/>
    <w:lsdException w:name="Table List 3" w:semiHidden="1" w:unhideWhenUsed="1"/>
    <w:lsdException w:name="Plain Table 1" w:uiPriority="41"/>
    <w:lsdException w:name="Medium List 2 Accent 3" w:uiPriority="66"/>
    <w:lsdException w:name="List Table 4 Accent 4" w:uiPriority="49"/>
    <w:lsdException w:name="Grid Table 2 Accent 4" w:uiPriority="47"/>
    <w:lsdException w:name="Table Grid 3" w:semiHidden="1" w:unhideWhenUsed="1"/>
    <w:lsdException w:name="Intense Emphasis" w:uiPriority="21" w:qFormat="1"/>
    <w:lsdException w:name="Medium Shading 2 Accent 6" w:uiPriority="64"/>
    <w:lsdException w:name="Grid Table 5 Dark Accent 1" w:uiPriority="50"/>
    <w:lsdException w:name="heading 1" w:qFormat="1"/>
    <w:lsdException w:name="Table Classic 2" w:semiHidden="1" w:unhideWhenUsed="1"/>
    <w:lsdException w:name="Medium Grid 1 Accent 6" w:uiPriority="67"/>
    <w:lsdException w:name="Colorful Shading Accent 4" w:uiPriority="71"/>
    <w:lsdException w:name="List Table 1 Light Accent 5" w:uiPriority="46"/>
    <w:lsdException w:name="List Table 4 Accent 5" w:uiPriority="49"/>
    <w:lsdException w:name="Medium Grid 2 Accent 5" w:uiPriority="68"/>
    <w:lsdException w:name="Table Columns 2" w:semiHidden="1" w:unhideWhenUsed="1"/>
    <w:lsdException w:name="Colorful Shading" w:uiPriority="71"/>
    <w:lsdException w:name="Grid Table 5 Dark Accent 5" w:uiPriority="50"/>
    <w:lsdException w:name="Medium Grid 1 Accent 3" w:uiPriority="67"/>
    <w:lsdException w:name="List Table 6 Colorful Accent 4" w:uiPriority="51"/>
    <w:lsdException w:name="Grid Table 4 Accent 6" w:uiPriority="49"/>
    <w:lsdException w:name="Grid Table 4 Accent 4" w:uiPriority="49"/>
    <w:lsdException w:name="Plain Table 5" w:uiPriority="45"/>
    <w:lsdException w:name="Table Web 2" w:semiHidden="1" w:unhideWhenUsed="1"/>
    <w:lsdException w:name="Medium List 1 Accent 5" w:uiPriority="65"/>
    <w:lsdException w:name="Outline List 2" w:uiPriority="99" w:semiHidden="1" w:unhideWhenUsed="1"/>
    <w:lsdException w:name="Table Columns 1" w:semiHidden="1" w:unhideWhenUsed="1"/>
    <w:lsdException w:name="heading 4" w:qFormat="1"/>
    <w:lsdException w:name="Table Columns 4" w:semiHidden="1" w:unhideWhenUsed="1"/>
    <w:lsdException w:name="Grid Table 1 Light Accent 2" w:uiPriority="46"/>
    <w:lsdException w:name="Quote" w:uiPriority="99"/>
    <w:lsdException w:name="Medium List 1 Accent 2" w:uiPriority="65"/>
    <w:lsdException w:name="Medium Shading 1" w:uiPriority="63"/>
    <w:lsdException w:name="Medium Grid 2" w:uiPriority="68"/>
    <w:lsdException w:name="List Table 1 Light Accent 1" w:uiPriority="46"/>
    <w:lsdException w:name="Medium Grid 2 Accent 2" w:uiPriority="68"/>
    <w:lsdException w:name="Medium Grid 2 Accent 1" w:uiPriority="68"/>
    <w:lsdException w:name="Grid Table 6 Colorful Accent 5" w:uiPriority="51"/>
    <w:lsdException w:name="toc 3" w:uiPriority="99"/>
    <w:lsdException w:name="Table Web 3" w:semiHidden="1" w:unhideWhenUsed="1"/>
    <w:lsdException w:name="Colorful Shading Accent 1" w:uiPriority="71"/>
    <w:lsdException w:name="Table Colorful 1" w:semiHidden="1" w:unhideWhenUsed="1"/>
    <w:lsdException w:name="Dark List" w:uiPriority="70"/>
    <w:lsdException w:name="Medium Grid 1 Accent 4" w:uiPriority="67"/>
    <w:lsdException w:name="List Table 3 Accent 2" w:uiPriority="48"/>
    <w:lsdException w:name="Table 3D effects 3" w:semiHidden="1" w:unhideWhenUsed="1"/>
    <w:lsdException w:name="Subtitle" w:qFormat="1"/>
    <w:lsdException w:name="Light Grid Accent 5" w:uiPriority="62"/>
    <w:lsdException w:name="Grid Table 2 Accent 5" w:uiPriority="47"/>
    <w:lsdException w:name="Grid Table 4 Accent 5" w:uiPriority="49"/>
    <w:lsdException w:name="List Table 4 Accent 1" w:uiPriority="49"/>
    <w:lsdException w:name="Grid Table 7 Colorful" w:uiPriority="52"/>
    <w:lsdException w:name="Subtle Emphasis" w:uiPriority="19" w:qFormat="1"/>
    <w:lsdException w:name="Medium Grid 3 Accent 6" w:uiPriority="69"/>
    <w:lsdException w:name="heading 5" w:qFormat="1"/>
    <w:lsdException w:name="Table Elegant" w:semiHidden="1" w:unhideWhenUsed="1"/>
    <w:lsdException w:name="Medium Grid 3" w:uiPriority="69"/>
    <w:lsdException w:name="Grid Table 5 Dark" w:uiPriority="50"/>
    <w:lsdException w:name="Table Grid 1" w:semiHidden="1" w:unhideWhenUsed="1"/>
    <w:lsdException w:name="List Table 5 Dark Accent 1" w:uiPriority="50"/>
    <w:lsdException w:name="Table List 5" w:semiHidden="1" w:unhideWhenUsed="1"/>
    <w:lsdException w:name="Colorful Grid Accent 1" w:uiPriority="73"/>
    <w:lsdException w:name="Colorful Grid Accent 2" w:uiPriority="73"/>
    <w:lsdException w:name="Light Grid Accent 1" w:uiPriority="62"/>
    <w:lsdException w:name="Default Paragraph Font" w:uiPriority="1" w:semiHidden="1" w:unhideWhenUsed="1"/>
    <w:lsdException w:name="Light Shading Accent 6" w:uiPriority="60"/>
    <w:lsdException w:name="List Table 1 Light Accent 3" w:uiPriority="46"/>
    <w:lsdException w:name="Dark List Accent 4" w:uiPriority="70"/>
    <w:lsdException w:name="Grid Table 5 Dark Accent 4" w:uiPriority="50"/>
    <w:lsdException w:name="Grid Table Light" w:uiPriority="40"/>
    <w:lsdException w:name="Table 3D effects 1" w:semiHidden="1" w:unhideWhenUsed="1"/>
    <w:lsdException w:name="HTML Address" w:uiPriority="99"/>
    <w:lsdException w:name="Light List Accent 6" w:uiPriority="61"/>
    <w:lsdException w:name="Colorful Shading Accent 2" w:uiPriority="71"/>
    <w:lsdException w:name="Table Classic 3" w:semiHidden="1" w:unhideWhenUsed="1"/>
    <w:lsdException w:name="List Table 1 Light Accent 2" w:uiPriority="46"/>
    <w:lsdException w:name="Table Subtle 1" w:semiHidden="1" w:unhideWhenUsed="1"/>
    <w:lsdException w:name="Grid Table 7 Colorful Accent 5" w:uiPriority="52"/>
    <w:lsdException w:name="Grid Table 7 Colorful Accent 6" w:uiPriority="52"/>
    <w:lsdException w:name="Light List Accent 4" w:uiPriority="61"/>
    <w:lsdException w:name="Table Grid 6" w:semiHidden="1" w:unhideWhenUsed="1"/>
    <w:lsdException w:name="Table Classic 1" w:semiHidden="1" w:unhideWhenUsed="1"/>
    <w:lsdException w:name="Table 3D effects 2" w:semiHidden="1" w:unhideWhenUsed="1"/>
    <w:lsdException w:name="Medium Shading 1 Accent 4" w:uiPriority="63"/>
    <w:lsdException w:name="Colorful List Accent 3" w:uiPriority="72"/>
    <w:lsdException w:name="HTML Top of Form" w:uiPriority="99" w:semiHidden="1" w:unhideWhenUsed="1"/>
    <w:lsdException w:name="Grid Table 6 Colorful Accent 6" w:uiPriority="51"/>
    <w:lsdException w:name="Colorful Grid Accent 5" w:uiPriority="73"/>
    <w:lsdException w:name="List Table 7 Colorful Accent 5" w:uiPriority="52"/>
    <w:lsdException w:name="Table Columns 3" w:semiHidden="1" w:unhideWhenUsed="1"/>
    <w:lsdException w:name="Medium Grid 3 Accent 5" w:uiPriority="69"/>
    <w:lsdException w:name="Grid Table 7 Colorful Accent 3" w:uiPriority="52"/>
    <w:lsdException w:name="Subtle Reference" w:uiPriority="31" w:qFormat="1"/>
    <w:lsdException w:name="List Table 5 Dark" w:uiPriority="50"/>
    <w:lsdException w:name="Medium Shading 2" w:uiPriority="64"/>
    <w:lsdException w:name="Light Shading Accent 4" w:uiPriority="60"/>
    <w:lsdException w:name="Title" w:qFormat="1"/>
    <w:lsdException w:name="List Table 2 Accent 5" w:uiPriority="47"/>
    <w:lsdException w:name="Outline List 1" w:uiPriority="99" w:semiHidden="1" w:unhideWhenUsed="1"/>
    <w:lsdException w:name="Table List 7" w:semiHidden="1" w:unhideWhenUsed="1"/>
    <w:lsdException w:name="HTML Variable" w:uiPriority="99"/>
    <w:lsdException w:name="Grid Table 1 Light" w:uiPriority="46"/>
    <w:lsdException w:name="toc 7" w:uiPriority="99"/>
    <w:lsdException w:name="List Table 5 Dark Accent 5" w:uiPriority="50"/>
    <w:lsdException w:name="Dark List Accent 1" w:uiPriority="70"/>
    <w:lsdException w:name="Grid Table 3 Accent 2" w:uiPriority="48"/>
    <w:lsdException w:name="Normal Table" w:uiPriority="99" w:semiHidden="1" w:unhideWhenUsed="1"/>
    <w:lsdException w:name="Table Simple 1" w:semiHidden="1" w:unhideWhenUsed="1"/>
    <w:lsdException w:name="Colorful Grid Accent 4" w:uiPriority="73"/>
    <w:lsdException w:name="List Table 4 Accent 2" w:uiPriority="49"/>
    <w:lsdException w:name="Medium List 2 Accent 2" w:uiPriority="66"/>
    <w:lsdException w:name="Colorful Shading Accent 3" w:uiPriority="71"/>
    <w:lsdException w:name="List Table 2 Accent 4" w:uiPriority="47"/>
    <w:lsdException w:name="heading 7" w:unhideWhenUsed="1" w:qFormat="1"/>
    <w:lsdException w:name="List Table 6 Colorful Accent 3" w:uiPriority="51"/>
    <w:lsdException w:name="Grid Table 7 Colorful Accent 1" w:uiPriority="52"/>
    <w:lsdException w:name="toc 2" w:uiPriority="99"/>
    <w:lsdException w:name="Medium List 1 Accent 3" w:uiPriority="65"/>
    <w:lsdException w:name="Medium Grid 2 Accent 6" w:uiPriority="68"/>
    <w:lsdException w:name="Medium Grid 1 Accent 1" w:uiPriority="67"/>
    <w:lsdException w:name="Table List 2" w:semiHidden="1" w:unhideWhenUsed="1"/>
    <w:lsdException w:name="Dark List Accent 3" w:uiPriority="70"/>
    <w:lsdException w:name="Table Theme" w:semiHidden="1" w:unhideWhenUsed="1"/>
    <w:lsdException w:name="No List" w:uiPriority="99" w:semiHidden="1" w:unhideWhenUsed="1"/>
    <w:lsdException w:name="Colorful Grid" w:uiPriority="73"/>
    <w:lsdException w:name="Medium Shading 1 Accent 6" w:uiPriority="63"/>
    <w:lsdException w:name="List Table 3" w:uiPriority="48"/>
    <w:lsdException w:name="Colorful List" w:uiPriority="72"/>
    <w:lsdException w:name="Light List Accent 2" w:uiPriority="61"/>
    <w:lsdException w:name="Medium Grid 3 Accent 2" w:uiPriority="69"/>
    <w:lsdException w:name="Light List Accent 3" w:uiPriority="61"/>
    <w:lsdException w:name="Medium List 2 Accent 6" w:uiPriority="66"/>
    <w:lsdException w:name="Dark List Accent 2" w:uiPriority="70"/>
    <w:lsdException w:name="Strong" w:qFormat="1"/>
    <w:lsdException w:name="Table List 6" w:semiHidden="1" w:unhideWhenUsed="1"/>
    <w:lsdException w:name="List Table 3 Accent 5" w:uiPriority="48"/>
    <w:lsdException w:name="Table List 4" w:semiHidden="1" w:unhideWhenUsed="1"/>
    <w:lsdException w:name="List Table 2" w:uiPriority="47"/>
    <w:lsdException w:name="List Table 4" w:uiPriority="49"/>
    <w:lsdException w:name="Table Grid 7" w:semiHidden="1" w:unhideWhenUsed="1"/>
    <w:lsdException w:name="Placeholder Text" w:uiPriority="99" w:semiHidden="1"/>
    <w:lsdException w:name="toc 9" w:uiPriority="99"/>
    <w:lsdException w:name="Table Grid 8" w:semiHidden="1" w:unhideWhenUsed="1"/>
    <w:lsdException w:name="Medium List 1 Accent 4" w:uiPriority="65"/>
    <w:lsdException w:name="Grid Table 1 Light Accent 3" w:uiPriority="46"/>
    <w:lsdException w:name="Dark List Accent 6" w:uiPriority="70"/>
    <w:lsdException w:name="Grid Table 1 Light Accent 4" w:uiPriority="46"/>
    <w:lsdException w:name="footnote reference" w:uiPriority="99" w:semiHidden="1" w:unhideWhenUsed="1"/>
    <w:lsdException w:name="Grid Table 6 Colorful Accent 2" w:uiPriority="51"/>
    <w:lsdException w:name="HTML Code" w:uiPriority="99"/>
    <w:lsdException w:name="Medium Shading 1 Accent 1" w:uiPriority="63"/>
    <w:lsdException w:name="toc 8" w:uiPriority="99"/>
    <w:lsdException w:name="List Table 5 Dark Accent 2" w:uiPriority="50"/>
    <w:lsdException w:name="Table List 1" w:semiHidden="1" w:unhideWhenUsed="1"/>
    <w:lsdException w:name="Light Shading Accent 1" w:uiPriority="60"/>
    <w:lsdException w:name="Light List Accent 1" w:uiPriority="61"/>
    <w:lsdException w:name="HTML Cite" w:uiPriority="99"/>
    <w:lsdException w:name="Grid Table 3 Accent 6" w:uiPriority="48"/>
    <w:lsdException w:name="Colorful List Accent 2" w:uiPriority="72"/>
    <w:lsdException w:name="List Table 3 Accent 6" w:uiPriority="48"/>
    <w:lsdException w:name="Medium Grid 3 Accent 3" w:uiPriority="69"/>
    <w:lsdException w:name="Bibliography" w:uiPriority="37" w:semiHidden="1" w:unhideWhenUsed="1"/>
    <w:lsdException w:name="Colorful Grid Accent 6" w:uiPriority="73"/>
    <w:lsdException w:name="Colorful Grid Accent 3" w:uiPriority="73"/>
    <w:lsdException w:name="Light Shading Accent 5" w:uiPriority="60"/>
    <w:lsdException w:name="heading 8" w:unhideWhenUsed="1" w:qFormat="1"/>
    <w:lsdException w:name="Light Shading Accent 2" w:uiPriority="60"/>
    <w:lsdException w:name="List Table 1 Light Accent 4" w:uiPriority="46"/>
    <w:lsdException w:name="Table Subtle 2" w:semiHidden="1" w:unhideWhenUsed="1"/>
    <w:lsdException w:name="Medium List 2 Accent 4" w:uiPriority="66"/>
    <w:lsdException w:name="Medium Grid 1 Accent 5" w:uiPriority="67"/>
    <w:lsdException w:name="Grid Table 3 Accent 3" w:uiPriority="48"/>
    <w:lsdException w:name="Light Grid Accent 4" w:uiPriority="62"/>
    <w:lsdException w:name="Grid Table 1 Light Accent 5" w:uiPriority="46"/>
    <w:lsdException w:name="HTML Keyboard" w:uiPriority="99"/>
    <w:lsdException w:name="footnote text" w:uiPriority="99" w:semiHidden="1" w:unhideWhenUsed="1"/>
    <w:lsdException w:name="Table Colorful 3" w:semiHidden="1" w:unhideWhenUsed="1"/>
    <w:lsdException w:name="List Table 6 Colorful Accent 5" w:uiPriority="51"/>
    <w:lsdException w:name="List Table 3 Accent 4" w:uiPriority="48"/>
    <w:lsdException w:name="Light Grid Accent 2" w:uiPriority="62"/>
    <w:lsdException w:name="Medium List 1 Accent 6" w:uiPriority="65"/>
    <w:lsdException w:name="Grid Table 7 Colorful Accent 4" w:uiPriority="52"/>
    <w:lsdException w:name="Dark List Accent 5" w:uiPriority="70"/>
    <w:lsdException w:name="List Table 7 Colorful Accent 3" w:uiPriority="52"/>
    <w:lsdException w:name="Outline List 3" w:uiPriority="99" w:semiHidden="1" w:unhideWhenUsed="1"/>
    <w:lsdException w:name="Book Title" w:uiPriority="33" w:qFormat="1"/>
    <w:lsdException w:name="Table Simple 3" w:semiHidden="1" w:unhideWhenUsed="1"/>
    <w:lsdException w:name="heading 2" w:qFormat="1"/>
    <w:lsdException w:name="Grid Table 5 Dark Accent 2" w:uiPriority="50"/>
    <w:lsdException w:name="Medium Grid 3 Accent 4" w:uiPriority="69"/>
    <w:lsdException w:name="List Table 6 Colorful Accent 1" w:uiPriority="51"/>
    <w:lsdException w:name="No Spacing" w:uiPriority="99"/>
    <w:lsdException w:name="Medium List 1" w:uiPriority="65"/>
    <w:lsdException w:name="caption" w:semiHidden="1" w:unhideWhenUsed="1" w:qFormat="1"/>
    <w:lsdException w:name="List Table 4 Accent 3" w:uiPriority="49"/>
    <w:lsdException w:name="Grid Table 6 Colorful Accent 1" w:uiPriority="51"/>
    <w:lsdException w:name="HTML Typewriter" w:uiPriority="99"/>
    <w:lsdException w:name="Medium Shading 1 Accent 5" w:uiPriority="63"/>
    <w:lsdException w:name="Medium List 2 Accent 5" w:uiPriority="66"/>
    <w:lsdException w:name="Grid Table 7 Colorful Accent 2" w:uiPriority="52"/>
    <w:lsdException w:name="Grid Table 2 Accent 1" w:uiPriority="47"/>
    <w:lsdException w:name="HTML Bottom of Form" w:uiPriority="99" w:semiHidden="1" w:unhideWhenUsed="1"/>
    <w:lsdException w:name="Grid Table 2 Accent 3" w:uiPriority="47"/>
    <w:lsdException w:name="Medium Grid 1" w:uiPriority="67"/>
    <w:lsdException w:name="Medium List 1 Accent 1" w:uiPriority="65"/>
    <w:lsdException w:name="Medium Shading 2 Accent 5" w:uiPriority="64"/>
    <w:lsdException w:name="Smart Hyperlink" w:uiPriority="99" w:semiHidden="1" w:unhideWhenUsed="1"/>
    <w:lsdException w:name="Intense Quote" w:uiPriority="99"/>
    <w:lsdException w:name="Medium Shading 2 Accent 4" w:uiPriority="64"/>
    <w:lsdException w:name="Grid Table 6 Colorful Accent 4" w:uiPriority="51"/>
    <w:lsdException w:name="Colorful Shading Accent 5" w:uiPriority="71"/>
    <w:lsdException w:name="List Table 7 Colorful" w:uiPriority="52"/>
    <w:lsdException w:name="Medium Shading 2 Accent 2" w:uiPriority="64"/>
    <w:lsdException w:name="HTML Sample" w:uiPriority="99"/>
    <w:lsdException w:name="Normal" w:qFormat="1"/>
    <w:lsdException w:name="Plain Table 2" w:uiPriority="42"/>
    <w:lsdException w:name="Table Grid 5" w:semiHidden="1" w:unhideWhenUsed="1"/>
    <w:lsdException w:name="Medium Grid 2 Accent 3" w:uiPriority="68"/>
  </w:latentStyles>
  <w:style w:type="paragraph" w:styleId="z2xbei">
    <w:name w:val="heading 1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paragraph" w:styleId="rdbvau">
    <w:name w:val="Title"/>
    <w:basedOn w:val="ablt93"/>
    <w:next w:val="ablt93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paragraph" w:styleId="t7p12u">
    <w:name w:val="heading 4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table" w:styleId="f2xm7p" w:default="1">
    <w:name w:val="Normal Table"/>
    <w:basedOn w:val=""/>
    <w:next w:val="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lt93" w:default="1">
    <w:name w:val="Normal"/>
    <w:qFormat w:val="1"/>
    <w:pPr>
      <w:widowControl w:val="0"/>
      <w:tabs/>
      <w:jc w:val="left"/>
    </w:pPr>
  </w:style>
  <w:style w:type="paragraph" w:styleId="o6nm9c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4omzjh">
    <w:name w:val="Hyperlink"/>
    <w:basedOn w:val="cy8bde"/>
    <w:next w:val=""/>
    <w:uiPriority w:val="99"/>
    <w:unhideWhenUsed w:val="1"/>
    <w:rPr>
      <w:color w:val="1E6FFF" w:themeColor="hyperlink"/>
      <w:u w:val="single"/>
    </w:r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22k2ji">
    <w:name w:val="heading 6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5"/>
    </w:pPr>
    <w:rPr>
      <w:b w:val="1"/>
      <w:bCs w:val="1"/>
      <w:color w:val="1A1A1A"/>
      <w:sz w:val="22"/>
      <w:szCs w:val="22"/>
    </w:rPr>
  </w:style>
  <w:style w:type="paragraph" w:styleId="w5vnkq">
    <w:name w:val="heading 5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4"/>
    </w:pPr>
    <w:rPr>
      <w:b w:val="1"/>
      <w:bCs w:val="1"/>
      <w:color w:val="1A1A1A"/>
      <w:sz w:val="22"/>
      <w:szCs w:val="22"/>
    </w:rPr>
  </w:style>
  <w:style w:type="character" w:styleId="cy8bde" w:default="1">
    <w:name w:val="Default Paragraph Font"/>
    <w:basedOn w:val=""/>
    <w:next w:val=""/>
    <w:uiPriority w:val="1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2026-04-21T18:02:14Z</dcterms:created>
  <dcterms:modified xsi:type="dcterms:W3CDTF">2026-04-21T18:02:14Z</dcterms:modified>
</cp:coreProperties>
</file>