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6"/>
        </w:rPr>
        <w:t>深度学习与空间智能 HW2 实验报告</w:t>
      </w:r>
    </w:p>
    <w:p>
      <w:pPr>
        <w:jc w:val="center"/>
      </w:pPr>
      <w:r>
        <w:rPr>
          <w:rFonts w:ascii="宋体" w:hAnsi="宋体" w:eastAsia="宋体"/>
          <w:sz w:val="24"/>
        </w:rPr>
        <w:t>Flowers102 分类、Road Vehicle 检测跟踪、U-Net 语义分割</w:t>
      </w:r>
    </w:p>
    <w:p>
      <w:pPr>
        <w:spacing w:line="300" w:lineRule="auto"/>
        <w:ind w:firstLine="420"/>
      </w:pPr>
      <w:r>
        <w:rPr>
          <w:rFonts w:ascii="宋体" w:hAnsi="宋体" w:eastAsia="宋体"/>
        </w:rPr>
        <w:t>小组成员：待填写</w:t>
      </w:r>
    </w:p>
    <w:p>
      <w:pPr>
        <w:spacing w:line="300" w:lineRule="auto"/>
        <w:ind w:firstLine="420"/>
      </w:pPr>
      <w:r>
        <w:rPr>
          <w:rFonts w:ascii="宋体" w:hAnsi="宋体" w:eastAsia="宋体"/>
        </w:rPr>
        <w:t>学号：待填写</w:t>
      </w:r>
    </w:p>
    <w:p>
      <w:pPr>
        <w:spacing w:line="300" w:lineRule="auto"/>
        <w:ind w:firstLine="420"/>
      </w:pPr>
      <w:r>
        <w:rPr>
          <w:rFonts w:ascii="宋体" w:hAnsi="宋体" w:eastAsia="宋体"/>
        </w:rPr>
        <w:t>分工：待填写</w:t>
      </w:r>
    </w:p>
    <w:p>
      <w:pPr>
        <w:spacing w:line="300" w:lineRule="auto"/>
        <w:ind w:firstLine="420"/>
      </w:pPr>
      <w:r>
        <w:rPr>
          <w:rFonts w:ascii="宋体" w:hAnsi="宋体" w:eastAsia="宋体"/>
        </w:rPr>
        <w:t>代码仓库链接：https://github.com/lhrscw/deep-learning-spatial-intelligence-hw2</w:t>
      </w:r>
    </w:p>
    <w:p>
      <w:pPr>
        <w:spacing w:line="300" w:lineRule="auto"/>
        <w:ind w:firstLine="420"/>
      </w:pPr>
      <w:r>
        <w:rPr>
          <w:rFonts w:ascii="宋体" w:hAnsi="宋体" w:eastAsia="宋体"/>
        </w:rPr>
        <w:t>模型权重下载地址：https://github.com/lhrscw/deep-learning-spatial-intelligence-hw2/releases/download/v1.0.0/hw2_weights.zip</w:t>
      </w:r>
    </w:p>
    <w:p>
      <w:pPr>
        <w:spacing w:line="300" w:lineRule="auto"/>
        <w:ind w:firstLine="420"/>
      </w:pPr>
      <w:r>
        <w:rPr>
          <w:rFonts w:ascii="宋体" w:hAnsi="宋体" w:eastAsia="宋体"/>
        </w:rPr>
        <w:t>跟踪演示视频与日志：https://github.com/lhrscw/deep-learning-spatial-intelligence-hw2/releases/download/v1.0.0/hw2_tracking_demo.zip</w:t>
      </w:r>
    </w:p>
    <w:p>
      <w:pPr>
        <w:pStyle w:val="Heading1"/>
      </w:pPr>
      <w:r>
        <w:rPr>
          <w:rFonts w:ascii="宋体" w:hAnsi="宋体" w:eastAsia="宋体"/>
          <w:b/>
          <w:sz w:val="32"/>
        </w:rPr>
        <w:t>摘要</w:t>
      </w:r>
    </w:p>
    <w:p>
      <w:pPr>
        <w:spacing w:line="300" w:lineRule="auto"/>
        <w:ind w:firstLine="420"/>
      </w:pPr>
      <w:r>
        <w:rPr>
          <w:rFonts w:ascii="宋体" w:hAnsi="宋体" w:eastAsia="宋体"/>
        </w:rPr>
        <w:t>本报告围绕 HW2 的三个任务展开，分别对应图像分类、目标检测跟踪和语义分割三类典型空间智能问题。任务一在 Flowers102 数据集上微调 ImageNet 预训练 ResNet-18，并通过随机初始化、学习率组合和 SE 注意力模块进行对比；任务二在 Road Vehicle 数据集上训练 YOLOv8n，进一步使用多目标跟踪得到稳定 Tracking ID，并基于虚拟线完成车辆越线计数；任务三从零实现 U-Net，在 Stanford Background Dataset 上比较 Cross-Entropy、Dice Loss 和 CE+Dice 三种损失函数。</w:t>
      </w:r>
    </w:p>
    <w:p>
      <w:pPr>
        <w:spacing w:line="300" w:lineRule="auto"/>
        <w:ind w:firstLine="420"/>
      </w:pPr>
      <w:r>
        <w:rPr>
          <w:rFonts w:ascii="宋体" w:hAnsi="宋体" w:eastAsia="宋体"/>
        </w:rPr>
        <w:t>实验结果显示，预训练特征对小规模细粒度分类非常关键，ResNet-18 随机初始化在 8 epoch 内只有 0.2340 的测试准确率，而 ImageNet 预训练加 SE-block 可达到 0.8676。YOLOv8n 在 20 epoch 设置下取得 mAP50 0.3770，并在 12 秒演示视频中产生 67 个唯一 Tracking ID 和 9 次越线计数。U-Net 分割实验中，Cross-Entropy 在 10 epoch 设置下取得最高验证 mIoU 0.5394，说明在该数据和训练长度下，像素级监督比单独 Dice Loss 更稳定。</w:t>
      </w:r>
    </w:p>
    <w:p>
      <w:pPr>
        <w:spacing w:line="300" w:lineRule="auto"/>
        <w:ind w:firstLine="420"/>
      </w:pPr>
      <w:r>
        <w:rPr>
          <w:rFonts w:ascii="宋体" w:hAnsi="宋体" w:eastAsia="宋体"/>
        </w:rPr>
        <w:t>本报告使用当前可复现实验结果形成 Word 初稿，保留完整训练命令、公开代码仓库、模型权重和演示视频链接。后续可在 Word 中补充小组信息、调整版式，并根据更长训练或实拍道路视频替换对应结果。</w:t>
      </w:r>
    </w:p>
    <w:p>
      <w:pPr>
        <w:spacing w:line="300" w:lineRule="auto"/>
        <w:ind w:firstLine="420"/>
      </w:pPr>
      <w:r>
        <w:rPr>
          <w:rFonts w:ascii="宋体" w:hAnsi="宋体" w:eastAsia="宋体"/>
        </w:rPr>
        <w:t>关键词：Flowers102；ResNet；YOLOv8；多目标跟踪；U-Net；Dice Loss；空间智能</w:t>
      </w:r>
    </w:p>
    <w:p>
      <w:pPr>
        <w:jc w:val="center"/>
      </w:pPr>
      <w:r>
        <w:rPr>
          <w:rFonts w:ascii="宋体" w:hAnsi="宋体" w:eastAsia="宋体"/>
          <w:i/>
          <w:sz w:val="18"/>
        </w:rPr>
        <w:t>表1 实验资源与公开链接</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Pr>
                <w:rFonts w:ascii="宋体" w:hAnsi="宋体" w:eastAsia="宋体"/>
                <w:sz w:val="18"/>
              </w:rPr>
              <w:t>项目</w:t>
            </w:r>
          </w:p>
        </w:tc>
        <w:tc>
          <w:tcPr>
            <w:tcW w:type="dxa" w:w="4703"/>
          </w:tcPr>
          <w:p>
            <w:pPr>
              <w:jc w:val="center"/>
            </w:pPr>
            <w:r>
              <w:rPr>
                <w:rFonts w:ascii="宋体" w:hAnsi="宋体" w:eastAsia="宋体"/>
                <w:sz w:val="18"/>
              </w:rPr>
              <w:t>内容</w:t>
            </w:r>
          </w:p>
        </w:tc>
      </w:tr>
      <w:tr>
        <w:tc>
          <w:tcPr>
            <w:tcW w:type="dxa" w:w="4703"/>
          </w:tcPr>
          <w:p>
            <w:pPr>
              <w:jc w:val="center"/>
            </w:pPr>
            <w:r>
              <w:rPr>
                <w:rFonts w:ascii="宋体" w:hAnsi="宋体" w:eastAsia="宋体"/>
                <w:sz w:val="18"/>
              </w:rPr>
              <w:t>代码仓库</w:t>
            </w:r>
          </w:p>
        </w:tc>
        <w:tc>
          <w:tcPr>
            <w:tcW w:type="dxa" w:w="4703"/>
          </w:tcPr>
          <w:p>
            <w:pPr>
              <w:jc w:val="center"/>
            </w:pPr>
            <w:r>
              <w:rPr>
                <w:rFonts w:ascii="宋体" w:hAnsi="宋体" w:eastAsia="宋体"/>
                <w:sz w:val="18"/>
              </w:rPr>
              <w:t>https://github.com/lhrscw/deep-learning-spatial-intelligence-hw2</w:t>
            </w:r>
          </w:p>
        </w:tc>
      </w:tr>
      <w:tr>
        <w:tc>
          <w:tcPr>
            <w:tcW w:type="dxa" w:w="4703"/>
          </w:tcPr>
          <w:p>
            <w:pPr>
              <w:jc w:val="center"/>
            </w:pPr>
            <w:r>
              <w:rPr>
                <w:rFonts w:ascii="宋体" w:hAnsi="宋体" w:eastAsia="宋体"/>
                <w:sz w:val="18"/>
              </w:rPr>
              <w:t>模型权重</w:t>
            </w:r>
          </w:p>
        </w:tc>
        <w:tc>
          <w:tcPr>
            <w:tcW w:type="dxa" w:w="4703"/>
          </w:tcPr>
          <w:p>
            <w:pPr>
              <w:jc w:val="center"/>
            </w:pPr>
            <w:r>
              <w:rPr>
                <w:rFonts w:ascii="宋体" w:hAnsi="宋体" w:eastAsia="宋体"/>
                <w:sz w:val="18"/>
              </w:rPr>
              <w:t>https://github.com/lhrscw/deep-learning-spatial-intelligence-hw2/releases/download/v1.0.0/hw2_weights.zip</w:t>
            </w:r>
          </w:p>
        </w:tc>
      </w:tr>
      <w:tr>
        <w:tc>
          <w:tcPr>
            <w:tcW w:type="dxa" w:w="4703"/>
          </w:tcPr>
          <w:p>
            <w:pPr>
              <w:jc w:val="center"/>
            </w:pPr>
            <w:r>
              <w:rPr>
                <w:rFonts w:ascii="宋体" w:hAnsi="宋体" w:eastAsia="宋体"/>
                <w:sz w:val="18"/>
              </w:rPr>
              <w:t>跟踪演示</w:t>
            </w:r>
          </w:p>
        </w:tc>
        <w:tc>
          <w:tcPr>
            <w:tcW w:type="dxa" w:w="4703"/>
          </w:tcPr>
          <w:p>
            <w:pPr>
              <w:jc w:val="center"/>
            </w:pPr>
            <w:r>
              <w:rPr>
                <w:rFonts w:ascii="宋体" w:hAnsi="宋体" w:eastAsia="宋体"/>
                <w:sz w:val="18"/>
              </w:rPr>
              <w:t>https://github.com/lhrscw/deep-learning-spatial-intelligence-hw2/releases/download/v1.0.0/hw2_tracking_demo.zip</w:t>
            </w:r>
          </w:p>
        </w:tc>
      </w:tr>
      <w:tr>
        <w:tc>
          <w:tcPr>
            <w:tcW w:type="dxa" w:w="4703"/>
          </w:tcPr>
          <w:p>
            <w:pPr>
              <w:jc w:val="center"/>
            </w:pPr>
            <w:r>
              <w:rPr>
                <w:rFonts w:ascii="宋体" w:hAnsi="宋体" w:eastAsia="宋体"/>
                <w:sz w:val="18"/>
              </w:rPr>
              <w:t>报告 Word</w:t>
            </w:r>
          </w:p>
        </w:tc>
        <w:tc>
          <w:tcPr>
            <w:tcW w:type="dxa" w:w="4703"/>
          </w:tcPr>
          <w:p>
            <w:pPr>
              <w:jc w:val="center"/>
            </w:pPr>
            <w:r>
              <w:rPr>
                <w:rFonts w:ascii="宋体" w:hAnsi="宋体" w:eastAsia="宋体"/>
                <w:sz w:val="18"/>
              </w:rPr>
              <w:t>reports/HW2_report_draft.docx</w:t>
            </w:r>
          </w:p>
        </w:tc>
      </w:tr>
      <w:tr>
        <w:tc>
          <w:tcPr>
            <w:tcW w:type="dxa" w:w="4703"/>
          </w:tcPr>
          <w:p>
            <w:pPr>
              <w:jc w:val="center"/>
            </w:pPr>
            <w:r>
              <w:rPr>
                <w:rFonts w:ascii="宋体" w:hAnsi="宋体" w:eastAsia="宋体"/>
                <w:sz w:val="18"/>
              </w:rPr>
              <w:t>结果汇总</w:t>
            </w:r>
          </w:p>
        </w:tc>
        <w:tc>
          <w:tcPr>
            <w:tcW w:type="dxa" w:w="4703"/>
          </w:tcPr>
          <w:p>
            <w:pPr>
              <w:jc w:val="center"/>
            </w:pPr>
            <w:r>
              <w:rPr>
                <w:rFonts w:ascii="宋体" w:hAnsi="宋体" w:eastAsia="宋体"/>
                <w:sz w:val="18"/>
              </w:rPr>
              <w:t>outputs/logs/</w:t>
            </w:r>
          </w:p>
        </w:tc>
      </w:tr>
    </w:tbl>
    <w:p>
      <w:pPr>
        <w:pStyle w:val="Heading1"/>
      </w:pPr>
      <w:r>
        <w:rPr>
          <w:rFonts w:ascii="宋体" w:hAnsi="宋体" w:eastAsia="宋体"/>
          <w:b/>
          <w:sz w:val="32"/>
        </w:rPr>
        <w:t>一、研究背景与总体目标</w:t>
      </w:r>
    </w:p>
    <w:p>
      <w:pPr>
        <w:spacing w:line="300" w:lineRule="auto"/>
        <w:ind w:firstLine="420"/>
      </w:pPr>
      <w:r>
        <w:rPr>
          <w:rFonts w:ascii="宋体" w:hAnsi="宋体" w:eastAsia="宋体"/>
        </w:rPr>
        <w:t>空间智能任务通常需要模型理解图像中的目标类别、空间位置、运动关系和像素级区域。单一分类准确率无法覆盖这些能力，因此本次作业把实验拆成三个层级：第一层是图像级分类，判断一张花卉图像属于哪一类；第二层是目标级检测与跟踪，在道路场景中定位车辆并维护跨帧身份；第三层是像素级分割，对场景中的每个像素预测语义类别。</w:t>
      </w:r>
    </w:p>
    <w:p>
      <w:pPr>
        <w:spacing w:line="300" w:lineRule="auto"/>
        <w:ind w:firstLine="420"/>
      </w:pPr>
      <w:r>
        <w:rPr>
          <w:rFonts w:ascii="宋体" w:hAnsi="宋体" w:eastAsia="宋体"/>
        </w:rPr>
        <w:t>三个任务在建模方式上形成递进关系。ResNet 分类任务关注全局判别特征，适合分析预训练、学习率和注意力模块的影响；YOLOv8 检测任务关注目标框、置信度和类别预测，并通过跟踪算法把静态检测结果扩展到时间维度；U-Net 分割任务则要求编码器和解码器在局部纹理与全局上下文之间建立联系，损失函数设计会直接影响边界、细小区域和类别不平衡。</w:t>
      </w:r>
    </w:p>
    <w:p>
      <w:pPr>
        <w:spacing w:line="300" w:lineRule="auto"/>
        <w:ind w:firstLine="420"/>
      </w:pPr>
      <w:r>
        <w:rPr>
          <w:rFonts w:ascii="宋体" w:hAnsi="宋体" w:eastAsia="宋体"/>
        </w:rPr>
        <w:t>为了保证结果可复现，所有训练命令、配置文件、日志摘要、图表和报告草稿均保留在仓库中。数据集、模型权重、视频和完整训练目录不直接放入 Git，而是通过 Release 资产提供下载链接。这样既能保持仓库体积可控，也便于从公开仓库重新检查代码结构和实验结论。</w:t>
      </w:r>
    </w:p>
    <w:p>
      <w:pPr>
        <w:jc w:val="center"/>
      </w:pPr>
      <w:r>
        <w:rPr>
          <w:rFonts w:ascii="宋体" w:hAnsi="宋体" w:eastAsia="宋体"/>
          <w:i/>
          <w:sz w:val="18"/>
        </w:rPr>
        <w:t>表2 三个任务的目标与结果概览</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宋体" w:hAnsi="宋体" w:eastAsia="宋体"/>
                <w:sz w:val="18"/>
              </w:rPr>
              <w:t>任务</w:t>
            </w:r>
          </w:p>
        </w:tc>
        <w:tc>
          <w:tcPr>
            <w:tcW w:type="dxa" w:w="1881"/>
          </w:tcPr>
          <w:p>
            <w:pPr>
              <w:jc w:val="center"/>
            </w:pPr>
            <w:r>
              <w:rPr>
                <w:rFonts w:ascii="宋体" w:hAnsi="宋体" w:eastAsia="宋体"/>
                <w:sz w:val="18"/>
              </w:rPr>
              <w:t>数据集</w:t>
            </w:r>
          </w:p>
        </w:tc>
        <w:tc>
          <w:tcPr>
            <w:tcW w:type="dxa" w:w="1881"/>
          </w:tcPr>
          <w:p>
            <w:pPr>
              <w:jc w:val="center"/>
            </w:pPr>
            <w:r>
              <w:rPr>
                <w:rFonts w:ascii="宋体" w:hAnsi="宋体" w:eastAsia="宋体"/>
                <w:sz w:val="18"/>
              </w:rPr>
              <w:t>模型</w:t>
            </w:r>
          </w:p>
        </w:tc>
        <w:tc>
          <w:tcPr>
            <w:tcW w:type="dxa" w:w="1881"/>
          </w:tcPr>
          <w:p>
            <w:pPr>
              <w:jc w:val="center"/>
            </w:pPr>
            <w:r>
              <w:rPr>
                <w:rFonts w:ascii="宋体" w:hAnsi="宋体" w:eastAsia="宋体"/>
                <w:sz w:val="18"/>
              </w:rPr>
              <w:t>核心指标</w:t>
            </w:r>
          </w:p>
        </w:tc>
        <w:tc>
          <w:tcPr>
            <w:tcW w:type="dxa" w:w="1881"/>
          </w:tcPr>
          <w:p>
            <w:pPr>
              <w:jc w:val="center"/>
            </w:pPr>
            <w:r>
              <w:rPr>
                <w:rFonts w:ascii="宋体" w:hAnsi="宋体" w:eastAsia="宋体"/>
                <w:sz w:val="18"/>
              </w:rPr>
              <w:t>当前最好结果</w:t>
            </w:r>
          </w:p>
        </w:tc>
      </w:tr>
      <w:tr>
        <w:tc>
          <w:tcPr>
            <w:tcW w:type="dxa" w:w="1881"/>
          </w:tcPr>
          <w:p>
            <w:pPr>
              <w:jc w:val="center"/>
            </w:pPr>
            <w:r>
              <w:rPr>
                <w:rFonts w:ascii="宋体" w:hAnsi="宋体" w:eastAsia="宋体"/>
                <w:sz w:val="18"/>
              </w:rPr>
              <w:t>任务一</w:t>
            </w:r>
          </w:p>
        </w:tc>
        <w:tc>
          <w:tcPr>
            <w:tcW w:type="dxa" w:w="1881"/>
          </w:tcPr>
          <w:p>
            <w:pPr>
              <w:jc w:val="center"/>
            </w:pPr>
            <w:r>
              <w:rPr>
                <w:rFonts w:ascii="宋体" w:hAnsi="宋体" w:eastAsia="宋体"/>
                <w:sz w:val="18"/>
              </w:rPr>
              <w:t>Flowers102</w:t>
            </w:r>
          </w:p>
        </w:tc>
        <w:tc>
          <w:tcPr>
            <w:tcW w:type="dxa" w:w="1881"/>
          </w:tcPr>
          <w:p>
            <w:pPr>
              <w:jc w:val="center"/>
            </w:pPr>
            <w:r>
              <w:rPr>
                <w:rFonts w:ascii="宋体" w:hAnsi="宋体" w:eastAsia="宋体"/>
                <w:sz w:val="18"/>
              </w:rPr>
              <w:t>ResNet-18 / SE-ResNet-18</w:t>
            </w:r>
          </w:p>
        </w:tc>
        <w:tc>
          <w:tcPr>
            <w:tcW w:type="dxa" w:w="1881"/>
          </w:tcPr>
          <w:p>
            <w:pPr>
              <w:jc w:val="center"/>
            </w:pPr>
            <w:r>
              <w:rPr>
                <w:rFonts w:ascii="宋体" w:hAnsi="宋体" w:eastAsia="宋体"/>
                <w:sz w:val="18"/>
              </w:rPr>
              <w:t>Val/Test Accuracy</w:t>
            </w:r>
          </w:p>
        </w:tc>
        <w:tc>
          <w:tcPr>
            <w:tcW w:type="dxa" w:w="1881"/>
          </w:tcPr>
          <w:p>
            <w:pPr>
              <w:jc w:val="center"/>
            </w:pPr>
            <w:r>
              <w:rPr>
                <w:rFonts w:ascii="宋体" w:hAnsi="宋体" w:eastAsia="宋体"/>
                <w:sz w:val="18"/>
              </w:rPr>
              <w:t>Test Acc 0.8676</w:t>
            </w:r>
          </w:p>
        </w:tc>
      </w:tr>
      <w:tr>
        <w:tc>
          <w:tcPr>
            <w:tcW w:type="dxa" w:w="1881"/>
          </w:tcPr>
          <w:p>
            <w:pPr>
              <w:jc w:val="center"/>
            </w:pPr>
            <w:r>
              <w:rPr>
                <w:rFonts w:ascii="宋体" w:hAnsi="宋体" w:eastAsia="宋体"/>
                <w:sz w:val="18"/>
              </w:rPr>
              <w:t>任务二</w:t>
            </w:r>
          </w:p>
        </w:tc>
        <w:tc>
          <w:tcPr>
            <w:tcW w:type="dxa" w:w="1881"/>
          </w:tcPr>
          <w:p>
            <w:pPr>
              <w:jc w:val="center"/>
            </w:pPr>
            <w:r>
              <w:rPr>
                <w:rFonts w:ascii="宋体" w:hAnsi="宋体" w:eastAsia="宋体"/>
                <w:sz w:val="18"/>
              </w:rPr>
              <w:t>Road Vehicle</w:t>
            </w:r>
          </w:p>
        </w:tc>
        <w:tc>
          <w:tcPr>
            <w:tcW w:type="dxa" w:w="1881"/>
          </w:tcPr>
          <w:p>
            <w:pPr>
              <w:jc w:val="center"/>
            </w:pPr>
            <w:r>
              <w:rPr>
                <w:rFonts w:ascii="宋体" w:hAnsi="宋体" w:eastAsia="宋体"/>
                <w:sz w:val="18"/>
              </w:rPr>
              <w:t>YOLOv8n + BoT-SORT</w:t>
            </w:r>
          </w:p>
        </w:tc>
        <w:tc>
          <w:tcPr>
            <w:tcW w:type="dxa" w:w="1881"/>
          </w:tcPr>
          <w:p>
            <w:pPr>
              <w:jc w:val="center"/>
            </w:pPr>
            <w:r>
              <w:rPr>
                <w:rFonts w:ascii="宋体" w:hAnsi="宋体" w:eastAsia="宋体"/>
                <w:sz w:val="18"/>
              </w:rPr>
              <w:t>mAP / Tracking ID / Count</w:t>
            </w:r>
          </w:p>
        </w:tc>
        <w:tc>
          <w:tcPr>
            <w:tcW w:type="dxa" w:w="1881"/>
          </w:tcPr>
          <w:p>
            <w:pPr>
              <w:jc w:val="center"/>
            </w:pPr>
            <w:r>
              <w:rPr>
                <w:rFonts w:ascii="宋体" w:hAnsi="宋体" w:eastAsia="宋体"/>
                <w:sz w:val="18"/>
              </w:rPr>
              <w:t>mAP50 0.3770，计数 9</w:t>
            </w:r>
          </w:p>
        </w:tc>
      </w:tr>
      <w:tr>
        <w:tc>
          <w:tcPr>
            <w:tcW w:type="dxa" w:w="1881"/>
          </w:tcPr>
          <w:p>
            <w:pPr>
              <w:jc w:val="center"/>
            </w:pPr>
            <w:r>
              <w:rPr>
                <w:rFonts w:ascii="宋体" w:hAnsi="宋体" w:eastAsia="宋体"/>
                <w:sz w:val="18"/>
              </w:rPr>
              <w:t>任务三</w:t>
            </w:r>
          </w:p>
        </w:tc>
        <w:tc>
          <w:tcPr>
            <w:tcW w:type="dxa" w:w="1881"/>
          </w:tcPr>
          <w:p>
            <w:pPr>
              <w:jc w:val="center"/>
            </w:pPr>
            <w:r>
              <w:rPr>
                <w:rFonts w:ascii="宋体" w:hAnsi="宋体" w:eastAsia="宋体"/>
                <w:sz w:val="18"/>
              </w:rPr>
              <w:t>Stanford Background</w:t>
            </w:r>
          </w:p>
        </w:tc>
        <w:tc>
          <w:tcPr>
            <w:tcW w:type="dxa" w:w="1881"/>
          </w:tcPr>
          <w:p>
            <w:pPr>
              <w:jc w:val="center"/>
            </w:pPr>
            <w:r>
              <w:rPr>
                <w:rFonts w:ascii="宋体" w:hAnsi="宋体" w:eastAsia="宋体"/>
                <w:sz w:val="18"/>
              </w:rPr>
              <w:t>U-Net from scratch</w:t>
            </w:r>
          </w:p>
        </w:tc>
        <w:tc>
          <w:tcPr>
            <w:tcW w:type="dxa" w:w="1881"/>
          </w:tcPr>
          <w:p>
            <w:pPr>
              <w:jc w:val="center"/>
            </w:pPr>
            <w:r>
              <w:rPr>
                <w:rFonts w:ascii="宋体" w:hAnsi="宋体" w:eastAsia="宋体"/>
                <w:sz w:val="18"/>
              </w:rPr>
              <w:t>Pixel Acc / mIoU</w:t>
            </w:r>
          </w:p>
        </w:tc>
        <w:tc>
          <w:tcPr>
            <w:tcW w:type="dxa" w:w="1881"/>
          </w:tcPr>
          <w:p>
            <w:pPr>
              <w:jc w:val="center"/>
            </w:pPr>
            <w:r>
              <w:rPr>
                <w:rFonts w:ascii="宋体" w:hAnsi="宋体" w:eastAsia="宋体"/>
                <w:sz w:val="18"/>
              </w:rPr>
              <w:t>Val mIoU 0.5394</w:t>
            </w:r>
          </w:p>
        </w:tc>
      </w:tr>
    </w:tbl>
    <w:p>
      <w:pPr>
        <w:pStyle w:val="Heading1"/>
      </w:pPr>
      <w:r>
        <w:rPr>
          <w:rFonts w:ascii="宋体" w:hAnsi="宋体" w:eastAsia="宋体"/>
          <w:b/>
          <w:sz w:val="32"/>
        </w:rPr>
        <w:t>二、数据来源与预处理</w:t>
      </w:r>
    </w:p>
    <w:p>
      <w:pPr>
        <w:spacing w:line="300" w:lineRule="auto"/>
        <w:ind w:firstLine="420"/>
      </w:pPr>
      <w:r>
        <w:rPr>
          <w:rFonts w:ascii="宋体" w:hAnsi="宋体" w:eastAsia="宋体"/>
        </w:rPr>
        <w:t>任务一使用 torchvision 提供的 Flowers102 标准划分。该数据集包含 102 类花卉，类别之间往往只在花瓣形状、颜色纹理或局部结构上有细微差异，因此非常适合检验 ImageNet 预训练特征在细粒度识别中的迁移能力。训练阶段将图像缩放到 224×224，并使用随机裁剪、水平翻转和 ImageNet 均值方差归一化；验证和测试阶段使用确定性缩放与中心裁剪，避免评估结果受到随机增强影响。</w:t>
      </w:r>
    </w:p>
    <w:p>
      <w:pPr>
        <w:spacing w:line="300" w:lineRule="auto"/>
        <w:ind w:firstLine="420"/>
      </w:pPr>
      <w:r>
        <w:rPr>
          <w:rFonts w:ascii="宋体" w:hAnsi="宋体" w:eastAsia="宋体"/>
        </w:rPr>
        <w:t>任务二使用 Road Vehicle Images Dataset。原始标注格式为 Supervisely rectangle JSON，代码先将标注解析为 YOLOv8 所需的 txt 文件，并生成 `data.yaml`。转换过程保留训练集 2704 张和验证集 300 张，共 21 个车辆相关类别。由于本地没有额外实拍道路视频，当前演示视频由验证集图像合成，主要用于稳定展示检测、跟踪、遮挡片段和越线计数流程。</w:t>
      </w:r>
    </w:p>
    <w:p>
      <w:pPr>
        <w:spacing w:line="300" w:lineRule="auto"/>
        <w:ind w:firstLine="420"/>
      </w:pPr>
      <w:r>
        <w:rPr>
          <w:rFonts w:ascii="宋体" w:hAnsi="宋体" w:eastAsia="宋体"/>
        </w:rPr>
        <w:t>任务三使用 Stanford Background Dataset。该数据集包含 715 张自然场景图像和像素级标签，类别包括 sky、tree、road、grass、water、building、mountain 和 foreground。代码固定随机种子后按 80%/20% 划分训练和验证集合，图像统一调整到 240×320，并对标签中的未知区域设置 ignore index，使其不参与损失和 mIoU 计算。</w:t>
      </w:r>
    </w:p>
    <w:p>
      <w:pPr>
        <w:jc w:val="center"/>
      </w:pPr>
      <w:r>
        <w:rPr>
          <w:rFonts w:ascii="宋体" w:hAnsi="宋体" w:eastAsia="宋体"/>
          <w:i/>
          <w:sz w:val="18"/>
        </w:rPr>
        <w:t>表3 数据集与预处理方式</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宋体" w:hAnsi="宋体" w:eastAsia="宋体"/>
                <w:sz w:val="18"/>
              </w:rPr>
              <w:t>数据集</w:t>
            </w:r>
          </w:p>
        </w:tc>
        <w:tc>
          <w:tcPr>
            <w:tcW w:type="dxa" w:w="1881"/>
          </w:tcPr>
          <w:p>
            <w:pPr>
              <w:jc w:val="center"/>
            </w:pPr>
            <w:r>
              <w:rPr>
                <w:rFonts w:ascii="宋体" w:hAnsi="宋体" w:eastAsia="宋体"/>
                <w:sz w:val="18"/>
              </w:rPr>
              <w:t>规模/划分</w:t>
            </w:r>
          </w:p>
        </w:tc>
        <w:tc>
          <w:tcPr>
            <w:tcW w:type="dxa" w:w="1881"/>
          </w:tcPr>
          <w:p>
            <w:pPr>
              <w:jc w:val="center"/>
            </w:pPr>
            <w:r>
              <w:rPr>
                <w:rFonts w:ascii="宋体" w:hAnsi="宋体" w:eastAsia="宋体"/>
                <w:sz w:val="18"/>
              </w:rPr>
              <w:t>输入尺寸</w:t>
            </w:r>
          </w:p>
        </w:tc>
        <w:tc>
          <w:tcPr>
            <w:tcW w:type="dxa" w:w="1881"/>
          </w:tcPr>
          <w:p>
            <w:pPr>
              <w:jc w:val="center"/>
            </w:pPr>
            <w:r>
              <w:rPr>
                <w:rFonts w:ascii="宋体" w:hAnsi="宋体" w:eastAsia="宋体"/>
                <w:sz w:val="18"/>
              </w:rPr>
              <w:t>预处理</w:t>
            </w:r>
          </w:p>
        </w:tc>
        <w:tc>
          <w:tcPr>
            <w:tcW w:type="dxa" w:w="1881"/>
          </w:tcPr>
          <w:p>
            <w:pPr>
              <w:jc w:val="center"/>
            </w:pPr>
            <w:r>
              <w:rPr>
                <w:rFonts w:ascii="宋体" w:hAnsi="宋体" w:eastAsia="宋体"/>
                <w:sz w:val="18"/>
              </w:rPr>
              <w:t>评价方式</w:t>
            </w:r>
          </w:p>
        </w:tc>
      </w:tr>
      <w:tr>
        <w:tc>
          <w:tcPr>
            <w:tcW w:type="dxa" w:w="1881"/>
          </w:tcPr>
          <w:p>
            <w:pPr>
              <w:jc w:val="center"/>
            </w:pPr>
            <w:r>
              <w:rPr>
                <w:rFonts w:ascii="宋体" w:hAnsi="宋体" w:eastAsia="宋体"/>
                <w:sz w:val="18"/>
              </w:rPr>
              <w:t>Flowers102</w:t>
            </w:r>
          </w:p>
        </w:tc>
        <w:tc>
          <w:tcPr>
            <w:tcW w:type="dxa" w:w="1881"/>
          </w:tcPr>
          <w:p>
            <w:pPr>
              <w:jc w:val="center"/>
            </w:pPr>
            <w:r>
              <w:rPr>
                <w:rFonts w:ascii="宋体" w:hAnsi="宋体" w:eastAsia="宋体"/>
                <w:sz w:val="18"/>
              </w:rPr>
              <w:t>标准 train/val/test</w:t>
            </w:r>
          </w:p>
        </w:tc>
        <w:tc>
          <w:tcPr>
            <w:tcW w:type="dxa" w:w="1881"/>
          </w:tcPr>
          <w:p>
            <w:pPr>
              <w:jc w:val="center"/>
            </w:pPr>
            <w:r>
              <w:rPr>
                <w:rFonts w:ascii="宋体" w:hAnsi="宋体" w:eastAsia="宋体"/>
                <w:sz w:val="18"/>
              </w:rPr>
              <w:t>224×224</w:t>
            </w:r>
          </w:p>
        </w:tc>
        <w:tc>
          <w:tcPr>
            <w:tcW w:type="dxa" w:w="1881"/>
          </w:tcPr>
          <w:p>
            <w:pPr>
              <w:jc w:val="center"/>
            </w:pPr>
            <w:r>
              <w:rPr>
                <w:rFonts w:ascii="宋体" w:hAnsi="宋体" w:eastAsia="宋体"/>
                <w:sz w:val="18"/>
              </w:rPr>
              <w:t>随机增强、ImageNet 归一化</w:t>
            </w:r>
          </w:p>
        </w:tc>
        <w:tc>
          <w:tcPr>
            <w:tcW w:type="dxa" w:w="1881"/>
          </w:tcPr>
          <w:p>
            <w:pPr>
              <w:jc w:val="center"/>
            </w:pPr>
            <w:r>
              <w:rPr>
                <w:rFonts w:ascii="宋体" w:hAnsi="宋体" w:eastAsia="宋体"/>
                <w:sz w:val="18"/>
              </w:rPr>
              <w:t>Accuracy</w:t>
            </w:r>
          </w:p>
        </w:tc>
      </w:tr>
      <w:tr>
        <w:tc>
          <w:tcPr>
            <w:tcW w:type="dxa" w:w="1881"/>
          </w:tcPr>
          <w:p>
            <w:pPr>
              <w:jc w:val="center"/>
            </w:pPr>
            <w:r>
              <w:rPr>
                <w:rFonts w:ascii="宋体" w:hAnsi="宋体" w:eastAsia="宋体"/>
                <w:sz w:val="18"/>
              </w:rPr>
              <w:t>Road Vehicle</w:t>
            </w:r>
          </w:p>
        </w:tc>
        <w:tc>
          <w:tcPr>
            <w:tcW w:type="dxa" w:w="1881"/>
          </w:tcPr>
          <w:p>
            <w:pPr>
              <w:jc w:val="center"/>
            </w:pPr>
            <w:r>
              <w:rPr>
                <w:rFonts w:ascii="宋体" w:hAnsi="宋体" w:eastAsia="宋体"/>
                <w:sz w:val="18"/>
              </w:rPr>
              <w:t>2704 train / 300 valid</w:t>
            </w:r>
          </w:p>
        </w:tc>
        <w:tc>
          <w:tcPr>
            <w:tcW w:type="dxa" w:w="1881"/>
          </w:tcPr>
          <w:p>
            <w:pPr>
              <w:jc w:val="center"/>
            </w:pPr>
            <w:r>
              <w:rPr>
                <w:rFonts w:ascii="宋体" w:hAnsi="宋体" w:eastAsia="宋体"/>
                <w:sz w:val="18"/>
              </w:rPr>
              <w:t>640</w:t>
            </w:r>
          </w:p>
        </w:tc>
        <w:tc>
          <w:tcPr>
            <w:tcW w:type="dxa" w:w="1881"/>
          </w:tcPr>
          <w:p>
            <w:pPr>
              <w:jc w:val="center"/>
            </w:pPr>
            <w:r>
              <w:rPr>
                <w:rFonts w:ascii="宋体" w:hAnsi="宋体" w:eastAsia="宋体"/>
                <w:sz w:val="18"/>
              </w:rPr>
              <w:t>JSON 转 YOLO 标注</w:t>
            </w:r>
          </w:p>
        </w:tc>
        <w:tc>
          <w:tcPr>
            <w:tcW w:type="dxa" w:w="1881"/>
          </w:tcPr>
          <w:p>
            <w:pPr>
              <w:jc w:val="center"/>
            </w:pPr>
            <w:r>
              <w:rPr>
                <w:rFonts w:ascii="宋体" w:hAnsi="宋体" w:eastAsia="宋体"/>
                <w:sz w:val="18"/>
              </w:rPr>
              <w:t>mAP、跟踪计数</w:t>
            </w:r>
          </w:p>
        </w:tc>
      </w:tr>
      <w:tr>
        <w:tc>
          <w:tcPr>
            <w:tcW w:type="dxa" w:w="1881"/>
          </w:tcPr>
          <w:p>
            <w:pPr>
              <w:jc w:val="center"/>
            </w:pPr>
            <w:r>
              <w:rPr>
                <w:rFonts w:ascii="宋体" w:hAnsi="宋体" w:eastAsia="宋体"/>
                <w:sz w:val="18"/>
              </w:rPr>
              <w:t>Stanford Background</w:t>
            </w:r>
          </w:p>
        </w:tc>
        <w:tc>
          <w:tcPr>
            <w:tcW w:type="dxa" w:w="1881"/>
          </w:tcPr>
          <w:p>
            <w:pPr>
              <w:jc w:val="center"/>
            </w:pPr>
            <w:r>
              <w:rPr>
                <w:rFonts w:ascii="宋体" w:hAnsi="宋体" w:eastAsia="宋体"/>
                <w:sz w:val="18"/>
              </w:rPr>
              <w:t>80% train / 20% valid</w:t>
            </w:r>
          </w:p>
        </w:tc>
        <w:tc>
          <w:tcPr>
            <w:tcW w:type="dxa" w:w="1881"/>
          </w:tcPr>
          <w:p>
            <w:pPr>
              <w:jc w:val="center"/>
            </w:pPr>
            <w:r>
              <w:rPr>
                <w:rFonts w:ascii="宋体" w:hAnsi="宋体" w:eastAsia="宋体"/>
                <w:sz w:val="18"/>
              </w:rPr>
              <w:t>240×320</w:t>
            </w:r>
          </w:p>
        </w:tc>
        <w:tc>
          <w:tcPr>
            <w:tcW w:type="dxa" w:w="1881"/>
          </w:tcPr>
          <w:p>
            <w:pPr>
              <w:jc w:val="center"/>
            </w:pPr>
            <w:r>
              <w:rPr>
                <w:rFonts w:ascii="宋体" w:hAnsi="宋体" w:eastAsia="宋体"/>
                <w:sz w:val="18"/>
              </w:rPr>
              <w:t>图像缩放、ignore index</w:t>
            </w:r>
          </w:p>
        </w:tc>
        <w:tc>
          <w:tcPr>
            <w:tcW w:type="dxa" w:w="1881"/>
          </w:tcPr>
          <w:p>
            <w:pPr>
              <w:jc w:val="center"/>
            </w:pPr>
            <w:r>
              <w:rPr>
                <w:rFonts w:ascii="宋体" w:hAnsi="宋体" w:eastAsia="宋体"/>
                <w:sz w:val="18"/>
              </w:rPr>
              <w:t>Pixel Acc、mIoU</w:t>
            </w:r>
          </w:p>
        </w:tc>
      </w:tr>
    </w:tbl>
    <w:p>
      <w:pPr>
        <w:pStyle w:val="Heading1"/>
      </w:pPr>
      <w:r>
        <w:rPr>
          <w:rFonts w:ascii="宋体" w:hAnsi="宋体" w:eastAsia="宋体"/>
          <w:b/>
          <w:sz w:val="32"/>
        </w:rPr>
        <w:t>三、任务一：Flowers102 图像分类</w:t>
      </w:r>
    </w:p>
    <w:p>
      <w:pPr>
        <w:pStyle w:val="Heading2"/>
      </w:pPr>
      <w:r>
        <w:rPr>
          <w:rFonts w:ascii="宋体" w:hAnsi="宋体" w:eastAsia="宋体"/>
          <w:b/>
          <w:sz w:val="26"/>
        </w:rPr>
        <w:t>3.1 模型结构与训练策略</w:t>
      </w:r>
    </w:p>
    <w:p>
      <w:pPr>
        <w:spacing w:line="300" w:lineRule="auto"/>
        <w:ind w:firstLine="420"/>
      </w:pPr>
      <w:r>
        <w:rPr>
          <w:rFonts w:ascii="宋体" w:hAnsi="宋体" w:eastAsia="宋体"/>
        </w:rPr>
        <w:t>分类 baseline 采用 ResNet-18。模型加载 ImageNet 预训练权重后，将原始 1000 类全连接分类头替换为 102 类输出层。为了避免大幅破坏预训练特征，优化器对骨干网络和分类头设置不同学习率：骨干网络使用较小学习率，分类头使用较大学习率。该策略符合迁移学习中的常见做法，即保留通用边缘、纹理和局部形状特征，同时让新分类头快速适配花卉类别。</w:t>
      </w:r>
    </w:p>
    <w:p>
      <w:pPr>
        <w:spacing w:line="300" w:lineRule="auto"/>
        <w:ind w:firstLine="420"/>
      </w:pPr>
      <w:r>
        <w:rPr>
          <w:rFonts w:ascii="宋体" w:hAnsi="宋体" w:eastAsia="宋体"/>
        </w:rPr>
        <w:t>注意力版本在 ResNet-18 最后一层卷积特征后加入 SE-block。SE-block 先通过全局平均池化得到通道描述向量，再使用两层全连接映射学习通道权重，最后将权重乘回原始特征。这样模型可以对更有判别力的花瓣纹理、颜色组合或局部结构赋予更高权重。由于 SE 模块参数量较小，它适合作为轻量注意力消融，不会显著改变 ResNet 主体结构。</w:t>
      </w:r>
    </w:p>
    <w:p>
      <w:pPr>
        <w:jc w:val="center"/>
      </w:pPr>
      <w:r>
        <w:rPr>
          <w:rFonts w:ascii="宋体" w:hAnsi="宋体" w:eastAsia="宋体"/>
          <w:i/>
          <w:sz w:val="18"/>
        </w:rPr>
        <w:t>表4 Flowers102 训练设置</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Pr>
                <w:rFonts w:ascii="宋体" w:hAnsi="宋体" w:eastAsia="宋体"/>
                <w:sz w:val="18"/>
              </w:rPr>
              <w:t>实验项</w:t>
            </w:r>
          </w:p>
        </w:tc>
        <w:tc>
          <w:tcPr>
            <w:tcW w:type="dxa" w:w="4703"/>
          </w:tcPr>
          <w:p>
            <w:pPr>
              <w:jc w:val="center"/>
            </w:pPr>
            <w:r>
              <w:rPr>
                <w:rFonts w:ascii="宋体" w:hAnsi="宋体" w:eastAsia="宋体"/>
                <w:sz w:val="18"/>
              </w:rPr>
              <w:t>设置</w:t>
            </w:r>
          </w:p>
        </w:tc>
      </w:tr>
      <w:tr>
        <w:tc>
          <w:tcPr>
            <w:tcW w:type="dxa" w:w="4703"/>
          </w:tcPr>
          <w:p>
            <w:pPr>
              <w:jc w:val="center"/>
            </w:pPr>
            <w:r>
              <w:rPr>
                <w:rFonts w:ascii="宋体" w:hAnsi="宋体" w:eastAsia="宋体"/>
                <w:sz w:val="18"/>
              </w:rPr>
              <w:t>基础模型</w:t>
            </w:r>
          </w:p>
        </w:tc>
        <w:tc>
          <w:tcPr>
            <w:tcW w:type="dxa" w:w="4703"/>
          </w:tcPr>
          <w:p>
            <w:pPr>
              <w:jc w:val="center"/>
            </w:pPr>
            <w:r>
              <w:rPr>
                <w:rFonts w:ascii="宋体" w:hAnsi="宋体" w:eastAsia="宋体"/>
                <w:sz w:val="18"/>
              </w:rPr>
              <w:t>ResNet-18</w:t>
            </w:r>
          </w:p>
        </w:tc>
      </w:tr>
      <w:tr>
        <w:tc>
          <w:tcPr>
            <w:tcW w:type="dxa" w:w="4703"/>
          </w:tcPr>
          <w:p>
            <w:pPr>
              <w:jc w:val="center"/>
            </w:pPr>
            <w:r>
              <w:rPr>
                <w:rFonts w:ascii="宋体" w:hAnsi="宋体" w:eastAsia="宋体"/>
                <w:sz w:val="18"/>
              </w:rPr>
              <w:t>输出类别</w:t>
            </w:r>
          </w:p>
        </w:tc>
        <w:tc>
          <w:tcPr>
            <w:tcW w:type="dxa" w:w="4703"/>
          </w:tcPr>
          <w:p>
            <w:pPr>
              <w:jc w:val="center"/>
            </w:pPr>
            <w:r>
              <w:rPr>
                <w:rFonts w:ascii="宋体" w:hAnsi="宋体" w:eastAsia="宋体"/>
                <w:sz w:val="18"/>
              </w:rPr>
              <w:t>102</w:t>
            </w:r>
          </w:p>
        </w:tc>
      </w:tr>
      <w:tr>
        <w:tc>
          <w:tcPr>
            <w:tcW w:type="dxa" w:w="4703"/>
          </w:tcPr>
          <w:p>
            <w:pPr>
              <w:jc w:val="center"/>
            </w:pPr>
            <w:r>
              <w:rPr>
                <w:rFonts w:ascii="宋体" w:hAnsi="宋体" w:eastAsia="宋体"/>
                <w:sz w:val="18"/>
              </w:rPr>
              <w:t>优化器</w:t>
            </w:r>
          </w:p>
        </w:tc>
        <w:tc>
          <w:tcPr>
            <w:tcW w:type="dxa" w:w="4703"/>
          </w:tcPr>
          <w:p>
            <w:pPr>
              <w:jc w:val="center"/>
            </w:pPr>
            <w:r>
              <w:rPr>
                <w:rFonts w:ascii="宋体" w:hAnsi="宋体" w:eastAsia="宋体"/>
                <w:sz w:val="18"/>
              </w:rPr>
              <w:t>AdamW</w:t>
            </w:r>
          </w:p>
        </w:tc>
      </w:tr>
      <w:tr>
        <w:tc>
          <w:tcPr>
            <w:tcW w:type="dxa" w:w="4703"/>
          </w:tcPr>
          <w:p>
            <w:pPr>
              <w:jc w:val="center"/>
            </w:pPr>
            <w:r>
              <w:rPr>
                <w:rFonts w:ascii="宋体" w:hAnsi="宋体" w:eastAsia="宋体"/>
                <w:sz w:val="18"/>
              </w:rPr>
              <w:t>学习率调度</w:t>
            </w:r>
          </w:p>
        </w:tc>
        <w:tc>
          <w:tcPr>
            <w:tcW w:type="dxa" w:w="4703"/>
          </w:tcPr>
          <w:p>
            <w:pPr>
              <w:jc w:val="center"/>
            </w:pPr>
            <w:r>
              <w:rPr>
                <w:rFonts w:ascii="宋体" w:hAnsi="宋体" w:eastAsia="宋体"/>
                <w:sz w:val="18"/>
              </w:rPr>
              <w:t>CosineAnnealingLR</w:t>
            </w:r>
          </w:p>
        </w:tc>
      </w:tr>
      <w:tr>
        <w:tc>
          <w:tcPr>
            <w:tcW w:type="dxa" w:w="4703"/>
          </w:tcPr>
          <w:p>
            <w:pPr>
              <w:jc w:val="center"/>
            </w:pPr>
            <w:r>
              <w:rPr>
                <w:rFonts w:ascii="宋体" w:hAnsi="宋体" w:eastAsia="宋体"/>
                <w:sz w:val="18"/>
              </w:rPr>
              <w:t>Batch size</w:t>
            </w:r>
          </w:p>
        </w:tc>
        <w:tc>
          <w:tcPr>
            <w:tcW w:type="dxa" w:w="4703"/>
          </w:tcPr>
          <w:p>
            <w:pPr>
              <w:jc w:val="center"/>
            </w:pPr>
            <w:r>
              <w:rPr>
                <w:rFonts w:ascii="宋体" w:hAnsi="宋体" w:eastAsia="宋体"/>
                <w:sz w:val="18"/>
              </w:rPr>
              <w:t>64</w:t>
            </w:r>
          </w:p>
        </w:tc>
      </w:tr>
      <w:tr>
        <w:tc>
          <w:tcPr>
            <w:tcW w:type="dxa" w:w="4703"/>
          </w:tcPr>
          <w:p>
            <w:pPr>
              <w:jc w:val="center"/>
            </w:pPr>
            <w:r>
              <w:rPr>
                <w:rFonts w:ascii="宋体" w:hAnsi="宋体" w:eastAsia="宋体"/>
                <w:sz w:val="18"/>
              </w:rPr>
              <w:t>权重衰减</w:t>
            </w:r>
          </w:p>
        </w:tc>
        <w:tc>
          <w:tcPr>
            <w:tcW w:type="dxa" w:w="4703"/>
          </w:tcPr>
          <w:p>
            <w:pPr>
              <w:jc w:val="center"/>
            </w:pPr>
            <w:r>
              <w:rPr>
                <w:rFonts w:ascii="宋体" w:hAnsi="宋体" w:eastAsia="宋体"/>
                <w:sz w:val="18"/>
              </w:rPr>
              <w:t>1e-4</w:t>
            </w:r>
          </w:p>
        </w:tc>
      </w:tr>
      <w:tr>
        <w:tc>
          <w:tcPr>
            <w:tcW w:type="dxa" w:w="4703"/>
          </w:tcPr>
          <w:p>
            <w:pPr>
              <w:jc w:val="center"/>
            </w:pPr>
            <w:r>
              <w:rPr>
                <w:rFonts w:ascii="宋体" w:hAnsi="宋体" w:eastAsia="宋体"/>
                <w:sz w:val="18"/>
              </w:rPr>
              <w:t>当前报告轮数</w:t>
            </w:r>
          </w:p>
        </w:tc>
        <w:tc>
          <w:tcPr>
            <w:tcW w:type="dxa" w:w="4703"/>
          </w:tcPr>
          <w:p>
            <w:pPr>
              <w:jc w:val="center"/>
            </w:pPr>
            <w:r>
              <w:rPr>
                <w:rFonts w:ascii="宋体" w:hAnsi="宋体" w:eastAsia="宋体"/>
                <w:sz w:val="18"/>
              </w:rPr>
              <w:t>8 epoch</w:t>
            </w:r>
          </w:p>
        </w:tc>
      </w:tr>
    </w:tbl>
    <w:p>
      <w:pPr>
        <w:pStyle w:val="Heading2"/>
      </w:pPr>
      <w:r>
        <w:rPr>
          <w:rFonts w:ascii="宋体" w:hAnsi="宋体" w:eastAsia="宋体"/>
          <w:b/>
          <w:sz w:val="26"/>
        </w:rPr>
        <w:t>3.2 超参数、预训练与注意力对比</w:t>
      </w:r>
    </w:p>
    <w:p>
      <w:pPr>
        <w:spacing w:line="300" w:lineRule="auto"/>
        <w:ind w:firstLine="420"/>
      </w:pPr>
      <w:r>
        <w:rPr>
          <w:rFonts w:ascii="宋体" w:hAnsi="宋体" w:eastAsia="宋体"/>
        </w:rPr>
        <w:t>本次先进行 8 epoch 对比实验。虽然配置文件保留了 30 epoch 的完整训练命令，但短轮次已经能展示主要差异：预训练模型收敛速度明显快于随机初始化，学习率过小会拖慢分类头适配速度，而 SE 模块在 baseline 基础上带来小幅提升。对于 Flowers102 这样的细粒度数据集，小样本训练阶段的初始化质量和学习率设置会直接影响最终性能。</w:t>
      </w:r>
    </w:p>
    <w:p>
      <w:pPr>
        <w:jc w:val="center"/>
      </w:pPr>
      <w:r>
        <w:rPr>
          <w:rFonts w:ascii="宋体" w:hAnsi="宋体" w:eastAsia="宋体"/>
          <w:i/>
          <w:sz w:val="18"/>
        </w:rPr>
        <w:t>表5 Flowers102 分类结果</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Pr>
                <w:rFonts w:ascii="宋体" w:hAnsi="宋体" w:eastAsia="宋体"/>
                <w:sz w:val="18"/>
              </w:rPr>
              <w:t>模型</w:t>
            </w:r>
          </w:p>
        </w:tc>
        <w:tc>
          <w:tcPr>
            <w:tcW w:type="dxa" w:w="1344"/>
          </w:tcPr>
          <w:p>
            <w:pPr>
              <w:jc w:val="center"/>
            </w:pPr>
            <w:r>
              <w:rPr>
                <w:rFonts w:ascii="宋体" w:hAnsi="宋体" w:eastAsia="宋体"/>
                <w:sz w:val="18"/>
              </w:rPr>
              <w:t>初始化</w:t>
            </w:r>
          </w:p>
        </w:tc>
        <w:tc>
          <w:tcPr>
            <w:tcW w:type="dxa" w:w="1344"/>
          </w:tcPr>
          <w:p>
            <w:pPr>
              <w:jc w:val="center"/>
            </w:pPr>
            <w:r>
              <w:rPr>
                <w:rFonts w:ascii="宋体" w:hAnsi="宋体" w:eastAsia="宋体"/>
                <w:sz w:val="18"/>
              </w:rPr>
              <w:t>注意力</w:t>
            </w:r>
          </w:p>
        </w:tc>
        <w:tc>
          <w:tcPr>
            <w:tcW w:type="dxa" w:w="1344"/>
          </w:tcPr>
          <w:p>
            <w:pPr>
              <w:jc w:val="center"/>
            </w:pPr>
            <w:r>
              <w:rPr>
                <w:rFonts w:ascii="宋体" w:hAnsi="宋体" w:eastAsia="宋体"/>
                <w:sz w:val="18"/>
              </w:rPr>
              <w:t>学习率</w:t>
            </w:r>
          </w:p>
        </w:tc>
        <w:tc>
          <w:tcPr>
            <w:tcW w:type="dxa" w:w="1344"/>
          </w:tcPr>
          <w:p>
            <w:pPr>
              <w:jc w:val="center"/>
            </w:pPr>
            <w:r>
              <w:rPr>
                <w:rFonts w:ascii="宋体" w:hAnsi="宋体" w:eastAsia="宋体"/>
                <w:sz w:val="18"/>
              </w:rPr>
              <w:t>最佳 Epoch</w:t>
            </w:r>
          </w:p>
        </w:tc>
        <w:tc>
          <w:tcPr>
            <w:tcW w:type="dxa" w:w="1344"/>
          </w:tcPr>
          <w:p>
            <w:pPr>
              <w:jc w:val="center"/>
            </w:pPr>
            <w:r>
              <w:rPr>
                <w:rFonts w:ascii="宋体" w:hAnsi="宋体" w:eastAsia="宋体"/>
                <w:sz w:val="18"/>
              </w:rPr>
              <w:t>Val Acc</w:t>
            </w:r>
          </w:p>
        </w:tc>
        <w:tc>
          <w:tcPr>
            <w:tcW w:type="dxa" w:w="1344"/>
          </w:tcPr>
          <w:p>
            <w:pPr>
              <w:jc w:val="center"/>
            </w:pPr>
            <w:r>
              <w:rPr>
                <w:rFonts w:ascii="宋体" w:hAnsi="宋体" w:eastAsia="宋体"/>
                <w:sz w:val="18"/>
              </w:rPr>
              <w:t>Test Acc</w:t>
            </w:r>
          </w:p>
        </w:tc>
      </w:tr>
      <w:tr>
        <w:tc>
          <w:tcPr>
            <w:tcW w:type="dxa" w:w="1344"/>
          </w:tcPr>
          <w:p>
            <w:pPr>
              <w:jc w:val="center"/>
            </w:pPr>
            <w:r>
              <w:rPr>
                <w:rFonts w:ascii="宋体" w:hAnsi="宋体" w:eastAsia="宋体"/>
                <w:sz w:val="18"/>
              </w:rPr>
              <w:t>ResNet-18</w:t>
            </w:r>
          </w:p>
        </w:tc>
        <w:tc>
          <w:tcPr>
            <w:tcW w:type="dxa" w:w="1344"/>
          </w:tcPr>
          <w:p>
            <w:pPr>
              <w:jc w:val="center"/>
            </w:pPr>
            <w:r>
              <w:rPr>
                <w:rFonts w:ascii="宋体" w:hAnsi="宋体" w:eastAsia="宋体"/>
                <w:sz w:val="18"/>
              </w:rPr>
              <w:t>ImageNet</w:t>
            </w:r>
          </w:p>
        </w:tc>
        <w:tc>
          <w:tcPr>
            <w:tcW w:type="dxa" w:w="1344"/>
          </w:tcPr>
          <w:p>
            <w:pPr>
              <w:jc w:val="center"/>
            </w:pPr>
            <w:r>
              <w:rPr>
                <w:rFonts w:ascii="宋体" w:hAnsi="宋体" w:eastAsia="宋体"/>
                <w:sz w:val="18"/>
              </w:rPr>
              <w:t>无</w:t>
            </w:r>
          </w:p>
        </w:tc>
        <w:tc>
          <w:tcPr>
            <w:tcW w:type="dxa" w:w="1344"/>
          </w:tcPr>
          <w:p>
            <w:pPr>
              <w:jc w:val="center"/>
            </w:pPr>
            <w:r>
              <w:rPr>
                <w:rFonts w:ascii="宋体" w:hAnsi="宋体" w:eastAsia="宋体"/>
                <w:sz w:val="18"/>
              </w:rPr>
              <w:t>backbone 1e-4, head 1e-3</w:t>
            </w:r>
          </w:p>
        </w:tc>
        <w:tc>
          <w:tcPr>
            <w:tcW w:type="dxa" w:w="1344"/>
          </w:tcPr>
          <w:p>
            <w:pPr>
              <w:jc w:val="center"/>
            </w:pPr>
            <w:r>
              <w:rPr>
                <w:rFonts w:ascii="宋体" w:hAnsi="宋体" w:eastAsia="宋体"/>
                <w:sz w:val="18"/>
              </w:rPr>
              <w:t>7</w:t>
            </w:r>
          </w:p>
        </w:tc>
        <w:tc>
          <w:tcPr>
            <w:tcW w:type="dxa" w:w="1344"/>
          </w:tcPr>
          <w:p>
            <w:pPr>
              <w:jc w:val="center"/>
            </w:pPr>
            <w:r>
              <w:rPr>
                <w:rFonts w:ascii="宋体" w:hAnsi="宋体" w:eastAsia="宋体"/>
                <w:sz w:val="18"/>
              </w:rPr>
              <w:t>0.8873</w:t>
            </w:r>
          </w:p>
        </w:tc>
        <w:tc>
          <w:tcPr>
            <w:tcW w:type="dxa" w:w="1344"/>
          </w:tcPr>
          <w:p>
            <w:pPr>
              <w:jc w:val="center"/>
            </w:pPr>
            <w:r>
              <w:rPr>
                <w:rFonts w:ascii="宋体" w:hAnsi="宋体" w:eastAsia="宋体"/>
                <w:sz w:val="18"/>
              </w:rPr>
              <w:t>0.8653</w:t>
            </w:r>
          </w:p>
        </w:tc>
      </w:tr>
      <w:tr>
        <w:tc>
          <w:tcPr>
            <w:tcW w:type="dxa" w:w="1344"/>
          </w:tcPr>
          <w:p>
            <w:pPr>
              <w:jc w:val="center"/>
            </w:pPr>
            <w:r>
              <w:rPr>
                <w:rFonts w:ascii="宋体" w:hAnsi="宋体" w:eastAsia="宋体"/>
                <w:sz w:val="18"/>
              </w:rPr>
              <w:t>ResNet-18</w:t>
            </w:r>
          </w:p>
        </w:tc>
        <w:tc>
          <w:tcPr>
            <w:tcW w:type="dxa" w:w="1344"/>
          </w:tcPr>
          <w:p>
            <w:pPr>
              <w:jc w:val="center"/>
            </w:pPr>
            <w:r>
              <w:rPr>
                <w:rFonts w:ascii="宋体" w:hAnsi="宋体" w:eastAsia="宋体"/>
                <w:sz w:val="18"/>
              </w:rPr>
              <w:t>ImageNet</w:t>
            </w:r>
          </w:p>
        </w:tc>
        <w:tc>
          <w:tcPr>
            <w:tcW w:type="dxa" w:w="1344"/>
          </w:tcPr>
          <w:p>
            <w:pPr>
              <w:jc w:val="center"/>
            </w:pPr>
            <w:r>
              <w:rPr>
                <w:rFonts w:ascii="宋体" w:hAnsi="宋体" w:eastAsia="宋体"/>
                <w:sz w:val="18"/>
              </w:rPr>
              <w:t>无</w:t>
            </w:r>
          </w:p>
        </w:tc>
        <w:tc>
          <w:tcPr>
            <w:tcW w:type="dxa" w:w="1344"/>
          </w:tcPr>
          <w:p>
            <w:pPr>
              <w:jc w:val="center"/>
            </w:pPr>
            <w:r>
              <w:rPr>
                <w:rFonts w:ascii="宋体" w:hAnsi="宋体" w:eastAsia="宋体"/>
                <w:sz w:val="18"/>
              </w:rPr>
              <w:t>backbone 3e-5, head 3e-4</w:t>
            </w:r>
          </w:p>
        </w:tc>
        <w:tc>
          <w:tcPr>
            <w:tcW w:type="dxa" w:w="1344"/>
          </w:tcPr>
          <w:p>
            <w:pPr>
              <w:jc w:val="center"/>
            </w:pPr>
            <w:r>
              <w:rPr>
                <w:rFonts w:ascii="宋体" w:hAnsi="宋体" w:eastAsia="宋体"/>
                <w:sz w:val="18"/>
              </w:rPr>
              <w:t>7</w:t>
            </w:r>
          </w:p>
        </w:tc>
        <w:tc>
          <w:tcPr>
            <w:tcW w:type="dxa" w:w="1344"/>
          </w:tcPr>
          <w:p>
            <w:pPr>
              <w:jc w:val="center"/>
            </w:pPr>
            <w:r>
              <w:rPr>
                <w:rFonts w:ascii="宋体" w:hAnsi="宋体" w:eastAsia="宋体"/>
                <w:sz w:val="18"/>
              </w:rPr>
              <w:t>0.7108</w:t>
            </w:r>
          </w:p>
        </w:tc>
        <w:tc>
          <w:tcPr>
            <w:tcW w:type="dxa" w:w="1344"/>
          </w:tcPr>
          <w:p>
            <w:pPr>
              <w:jc w:val="center"/>
            </w:pPr>
            <w:r>
              <w:rPr>
                <w:rFonts w:ascii="宋体" w:hAnsi="宋体" w:eastAsia="宋体"/>
                <w:sz w:val="18"/>
              </w:rPr>
              <w:t>0.6720</w:t>
            </w:r>
          </w:p>
        </w:tc>
      </w:tr>
      <w:tr>
        <w:tc>
          <w:tcPr>
            <w:tcW w:type="dxa" w:w="1344"/>
          </w:tcPr>
          <w:p>
            <w:pPr>
              <w:jc w:val="center"/>
            </w:pPr>
            <w:r>
              <w:rPr>
                <w:rFonts w:ascii="宋体" w:hAnsi="宋体" w:eastAsia="宋体"/>
                <w:sz w:val="18"/>
              </w:rPr>
              <w:t>ResNet-18</w:t>
            </w:r>
          </w:p>
        </w:tc>
        <w:tc>
          <w:tcPr>
            <w:tcW w:type="dxa" w:w="1344"/>
          </w:tcPr>
          <w:p>
            <w:pPr>
              <w:jc w:val="center"/>
            </w:pPr>
            <w:r>
              <w:rPr>
                <w:rFonts w:ascii="宋体" w:hAnsi="宋体" w:eastAsia="宋体"/>
                <w:sz w:val="18"/>
              </w:rPr>
              <w:t>随机初始化</w:t>
            </w:r>
          </w:p>
        </w:tc>
        <w:tc>
          <w:tcPr>
            <w:tcW w:type="dxa" w:w="1344"/>
          </w:tcPr>
          <w:p>
            <w:pPr>
              <w:jc w:val="center"/>
            </w:pPr>
            <w:r>
              <w:rPr>
                <w:rFonts w:ascii="宋体" w:hAnsi="宋体" w:eastAsia="宋体"/>
                <w:sz w:val="18"/>
              </w:rPr>
              <w:t>无</w:t>
            </w:r>
          </w:p>
        </w:tc>
        <w:tc>
          <w:tcPr>
            <w:tcW w:type="dxa" w:w="1344"/>
          </w:tcPr>
          <w:p>
            <w:pPr>
              <w:jc w:val="center"/>
            </w:pPr>
            <w:r>
              <w:rPr>
                <w:rFonts w:ascii="宋体" w:hAnsi="宋体" w:eastAsia="宋体"/>
                <w:sz w:val="18"/>
              </w:rPr>
              <w:t>1e-3</w:t>
            </w:r>
          </w:p>
        </w:tc>
        <w:tc>
          <w:tcPr>
            <w:tcW w:type="dxa" w:w="1344"/>
          </w:tcPr>
          <w:p>
            <w:pPr>
              <w:jc w:val="center"/>
            </w:pPr>
            <w:r>
              <w:rPr>
                <w:rFonts w:ascii="宋体" w:hAnsi="宋体" w:eastAsia="宋体"/>
                <w:sz w:val="18"/>
              </w:rPr>
              <w:t>8</w:t>
            </w:r>
          </w:p>
        </w:tc>
        <w:tc>
          <w:tcPr>
            <w:tcW w:type="dxa" w:w="1344"/>
          </w:tcPr>
          <w:p>
            <w:pPr>
              <w:jc w:val="center"/>
            </w:pPr>
            <w:r>
              <w:rPr>
                <w:rFonts w:ascii="宋体" w:hAnsi="宋体" w:eastAsia="宋体"/>
                <w:sz w:val="18"/>
              </w:rPr>
              <w:t>0.2990</w:t>
            </w:r>
          </w:p>
        </w:tc>
        <w:tc>
          <w:tcPr>
            <w:tcW w:type="dxa" w:w="1344"/>
          </w:tcPr>
          <w:p>
            <w:pPr>
              <w:jc w:val="center"/>
            </w:pPr>
            <w:r>
              <w:rPr>
                <w:rFonts w:ascii="宋体" w:hAnsi="宋体" w:eastAsia="宋体"/>
                <w:sz w:val="18"/>
              </w:rPr>
              <w:t>0.2340</w:t>
            </w:r>
          </w:p>
        </w:tc>
      </w:tr>
      <w:tr>
        <w:tc>
          <w:tcPr>
            <w:tcW w:type="dxa" w:w="1344"/>
          </w:tcPr>
          <w:p>
            <w:pPr>
              <w:jc w:val="center"/>
            </w:pPr>
            <w:r>
              <w:rPr>
                <w:rFonts w:ascii="宋体" w:hAnsi="宋体" w:eastAsia="宋体"/>
                <w:sz w:val="18"/>
              </w:rPr>
              <w:t>ResNet-18</w:t>
            </w:r>
          </w:p>
        </w:tc>
        <w:tc>
          <w:tcPr>
            <w:tcW w:type="dxa" w:w="1344"/>
          </w:tcPr>
          <w:p>
            <w:pPr>
              <w:jc w:val="center"/>
            </w:pPr>
            <w:r>
              <w:rPr>
                <w:rFonts w:ascii="宋体" w:hAnsi="宋体" w:eastAsia="宋体"/>
                <w:sz w:val="18"/>
              </w:rPr>
              <w:t>ImageNet</w:t>
            </w:r>
          </w:p>
        </w:tc>
        <w:tc>
          <w:tcPr>
            <w:tcW w:type="dxa" w:w="1344"/>
          </w:tcPr>
          <w:p>
            <w:pPr>
              <w:jc w:val="center"/>
            </w:pPr>
            <w:r>
              <w:rPr>
                <w:rFonts w:ascii="宋体" w:hAnsi="宋体" w:eastAsia="宋体"/>
                <w:sz w:val="18"/>
              </w:rPr>
              <w:t>SE-block</w:t>
            </w:r>
          </w:p>
        </w:tc>
        <w:tc>
          <w:tcPr>
            <w:tcW w:type="dxa" w:w="1344"/>
          </w:tcPr>
          <w:p>
            <w:pPr>
              <w:jc w:val="center"/>
            </w:pPr>
            <w:r>
              <w:rPr>
                <w:rFonts w:ascii="宋体" w:hAnsi="宋体" w:eastAsia="宋体"/>
                <w:sz w:val="18"/>
              </w:rPr>
              <w:t>backbone 1e-4, head 1e-3</w:t>
            </w:r>
          </w:p>
        </w:tc>
        <w:tc>
          <w:tcPr>
            <w:tcW w:type="dxa" w:w="1344"/>
          </w:tcPr>
          <w:p>
            <w:pPr>
              <w:jc w:val="center"/>
            </w:pPr>
            <w:r>
              <w:rPr>
                <w:rFonts w:ascii="宋体" w:hAnsi="宋体" w:eastAsia="宋体"/>
                <w:sz w:val="18"/>
              </w:rPr>
              <w:t>7</w:t>
            </w:r>
          </w:p>
        </w:tc>
        <w:tc>
          <w:tcPr>
            <w:tcW w:type="dxa" w:w="1344"/>
          </w:tcPr>
          <w:p>
            <w:pPr>
              <w:jc w:val="center"/>
            </w:pPr>
            <w:r>
              <w:rPr>
                <w:rFonts w:ascii="宋体" w:hAnsi="宋体" w:eastAsia="宋体"/>
                <w:sz w:val="18"/>
              </w:rPr>
              <w:t>0.8980</w:t>
            </w:r>
          </w:p>
        </w:tc>
        <w:tc>
          <w:tcPr>
            <w:tcW w:type="dxa" w:w="1344"/>
          </w:tcPr>
          <w:p>
            <w:pPr>
              <w:jc w:val="center"/>
            </w:pPr>
            <w:r>
              <w:rPr>
                <w:rFonts w:ascii="宋体" w:hAnsi="宋体" w:eastAsia="宋体"/>
                <w:sz w:val="18"/>
              </w:rPr>
              <w:t>0.8676</w:t>
            </w:r>
          </w:p>
        </w:tc>
      </w:tr>
    </w:tbl>
    <w:p>
      <w:pPr>
        <w:jc w:val="center"/>
      </w:pPr>
      <w:r>
        <w:drawing>
          <wp:inline xmlns:a="http://schemas.openxmlformats.org/drawingml/2006/main" xmlns:pic="http://schemas.openxmlformats.org/drawingml/2006/picture">
            <wp:extent cx="5580000" cy="4267544"/>
            <wp:docPr id="1" name="Picture 1"/>
            <wp:cNvGraphicFramePr>
              <a:graphicFrameLocks noChangeAspect="1"/>
            </wp:cNvGraphicFramePr>
            <a:graphic>
              <a:graphicData uri="http://schemas.openxmlformats.org/drawingml/2006/picture">
                <pic:pic>
                  <pic:nvPicPr>
                    <pic:cNvPr id="0" name="task1_summary.png"/>
                    <pic:cNvPicPr/>
                  </pic:nvPicPr>
                  <pic:blipFill>
                    <a:blip r:embed="rId9"/>
                    <a:stretch>
                      <a:fillRect/>
                    </a:stretch>
                  </pic:blipFill>
                  <pic:spPr>
                    <a:xfrm>
                      <a:off x="0" y="0"/>
                      <a:ext cx="5580000" cy="4267544"/>
                    </a:xfrm>
                    <a:prstGeom prst="rect"/>
                  </pic:spPr>
                </pic:pic>
              </a:graphicData>
            </a:graphic>
          </wp:inline>
        </w:drawing>
      </w:r>
    </w:p>
    <w:p>
      <w:pPr>
        <w:jc w:val="center"/>
      </w:pPr>
      <w:r>
        <w:rPr>
          <w:rFonts w:ascii="宋体" w:hAnsi="宋体" w:eastAsia="宋体"/>
          <w:i/>
          <w:sz w:val="18"/>
        </w:rPr>
        <w:t>图1 Flowers102 四组实验训练曲线汇总</w:t>
      </w:r>
    </w:p>
    <w:p>
      <w:pPr>
        <w:jc w:val="center"/>
      </w:pPr>
      <w:r>
        <w:drawing>
          <wp:inline xmlns:a="http://schemas.openxmlformats.org/drawingml/2006/main" xmlns:pic="http://schemas.openxmlformats.org/drawingml/2006/picture">
            <wp:extent cx="5580000" cy="3138750"/>
            <wp:docPr id="2" name="Picture 2"/>
            <wp:cNvGraphicFramePr>
              <a:graphicFrameLocks noChangeAspect="1"/>
            </wp:cNvGraphicFramePr>
            <a:graphic>
              <a:graphicData uri="http://schemas.openxmlformats.org/drawingml/2006/picture">
                <pic:pic>
                  <pic:nvPicPr>
                    <pic:cNvPr id="0" name="task1_resnet18_pretrained.png"/>
                    <pic:cNvPicPr/>
                  </pic:nvPicPr>
                  <pic:blipFill>
                    <a:blip r:embed="rId10"/>
                    <a:stretch>
                      <a:fillRect/>
                    </a:stretch>
                  </pic:blipFill>
                  <pic:spPr>
                    <a:xfrm>
                      <a:off x="0" y="0"/>
                      <a:ext cx="5580000" cy="3138750"/>
                    </a:xfrm>
                    <a:prstGeom prst="rect"/>
                  </pic:spPr>
                </pic:pic>
              </a:graphicData>
            </a:graphic>
          </wp:inline>
        </w:drawing>
      </w:r>
    </w:p>
    <w:p>
      <w:pPr>
        <w:jc w:val="center"/>
      </w:pPr>
      <w:r>
        <w:rPr>
          <w:rFonts w:ascii="宋体" w:hAnsi="宋体" w:eastAsia="宋体"/>
          <w:i/>
          <w:sz w:val="18"/>
        </w:rPr>
        <w:t>图2 ResNet-18 预训练 baseline 训练曲线</w:t>
      </w:r>
    </w:p>
    <w:p>
      <w:pPr>
        <w:jc w:val="center"/>
      </w:pPr>
      <w:r>
        <w:drawing>
          <wp:inline xmlns:a="http://schemas.openxmlformats.org/drawingml/2006/main" xmlns:pic="http://schemas.openxmlformats.org/drawingml/2006/picture">
            <wp:extent cx="5580000" cy="3138750"/>
            <wp:docPr id="3" name="Picture 3"/>
            <wp:cNvGraphicFramePr>
              <a:graphicFrameLocks noChangeAspect="1"/>
            </wp:cNvGraphicFramePr>
            <a:graphic>
              <a:graphicData uri="http://schemas.openxmlformats.org/drawingml/2006/picture">
                <pic:pic>
                  <pic:nvPicPr>
                    <pic:cNvPr id="0" name="task1_resnet18_random.png"/>
                    <pic:cNvPicPr/>
                  </pic:nvPicPr>
                  <pic:blipFill>
                    <a:blip r:embed="rId11"/>
                    <a:stretch>
                      <a:fillRect/>
                    </a:stretch>
                  </pic:blipFill>
                  <pic:spPr>
                    <a:xfrm>
                      <a:off x="0" y="0"/>
                      <a:ext cx="5580000" cy="3138750"/>
                    </a:xfrm>
                    <a:prstGeom prst="rect"/>
                  </pic:spPr>
                </pic:pic>
              </a:graphicData>
            </a:graphic>
          </wp:inline>
        </w:drawing>
      </w:r>
    </w:p>
    <w:p>
      <w:pPr>
        <w:jc w:val="center"/>
      </w:pPr>
      <w:r>
        <w:rPr>
          <w:rFonts w:ascii="宋体" w:hAnsi="宋体" w:eastAsia="宋体"/>
          <w:i/>
          <w:sz w:val="18"/>
        </w:rPr>
        <w:t>图3 ResNet-18 随机初始化消融曲线</w:t>
      </w:r>
    </w:p>
    <w:p>
      <w:pPr>
        <w:jc w:val="center"/>
      </w:pPr>
      <w:r>
        <w:drawing>
          <wp:inline xmlns:a="http://schemas.openxmlformats.org/drawingml/2006/main" xmlns:pic="http://schemas.openxmlformats.org/drawingml/2006/picture">
            <wp:extent cx="5580000" cy="3138750"/>
            <wp:docPr id="4" name="Picture 4"/>
            <wp:cNvGraphicFramePr>
              <a:graphicFrameLocks noChangeAspect="1"/>
            </wp:cNvGraphicFramePr>
            <a:graphic>
              <a:graphicData uri="http://schemas.openxmlformats.org/drawingml/2006/picture">
                <pic:pic>
                  <pic:nvPicPr>
                    <pic:cNvPr id="0" name="task1_resnet18_se.png"/>
                    <pic:cNvPicPr/>
                  </pic:nvPicPr>
                  <pic:blipFill>
                    <a:blip r:embed="rId12"/>
                    <a:stretch>
                      <a:fillRect/>
                    </a:stretch>
                  </pic:blipFill>
                  <pic:spPr>
                    <a:xfrm>
                      <a:off x="0" y="0"/>
                      <a:ext cx="5580000" cy="3138750"/>
                    </a:xfrm>
                    <a:prstGeom prst="rect"/>
                  </pic:spPr>
                </pic:pic>
              </a:graphicData>
            </a:graphic>
          </wp:inline>
        </w:drawing>
      </w:r>
    </w:p>
    <w:p>
      <w:pPr>
        <w:jc w:val="center"/>
      </w:pPr>
      <w:r>
        <w:rPr>
          <w:rFonts w:ascii="宋体" w:hAnsi="宋体" w:eastAsia="宋体"/>
          <w:i/>
          <w:sz w:val="18"/>
        </w:rPr>
        <w:t>图4 ResNet-18 + SE-block 训练曲线</w:t>
      </w:r>
    </w:p>
    <w:p>
      <w:pPr>
        <w:spacing w:line="300" w:lineRule="auto"/>
        <w:ind w:firstLine="420"/>
      </w:pPr>
      <w:r>
        <w:rPr>
          <w:rFonts w:ascii="宋体" w:hAnsi="宋体" w:eastAsia="宋体"/>
        </w:rPr>
        <w:t>从图1至图4可以看出，ImageNet 初始化带来的优势不仅体现在最终准确率，也体现在早期训练的稳定性。随机初始化曲线提升较慢，说明模型需要先从花卉数据中学习通用边缘和纹理，再学习类别判别；但 Flowers102 训练集规模有限，8 epoch 内很难充分完成这一过程。低学习率预训练组虽然同样使用 ImageNet 权重，但分类头学习速度不足，导致验证和测试准确率明显低于 baseline。SE-block 版本在验证集达到 0.8980，说明通道重标定对花卉细粒度纹理有一定帮助。</w:t>
      </w:r>
    </w:p>
    <w:p>
      <w:pPr>
        <w:spacing w:line="300" w:lineRule="auto"/>
        <w:ind w:firstLine="420"/>
      </w:pPr>
      <w:r>
        <w:rPr>
          <w:rFonts w:ascii="宋体" w:hAnsi="宋体" w:eastAsia="宋体"/>
        </w:rPr>
        <w:t>当前结果也说明，迁移学习实验不能只报告一个最优模型，还需要给出对照项。预训练对比回答了初始化是否重要，学习率对比说明优化策略是否合理，注意力对比则检验结构改动是否有效。三类对照共同支撑了最终选择 ResNet-18 + ImageNet + SE 作为当前最佳分类模型。</w:t>
      </w:r>
    </w:p>
    <w:p>
      <w:pPr>
        <w:pStyle w:val="Heading1"/>
      </w:pPr>
      <w:r>
        <w:rPr>
          <w:rFonts w:ascii="宋体" w:hAnsi="宋体" w:eastAsia="宋体"/>
          <w:b/>
          <w:sz w:val="32"/>
        </w:rPr>
        <w:t>四、任务二：Road Vehicle 检测、跟踪与计数</w:t>
      </w:r>
    </w:p>
    <w:p>
      <w:pPr>
        <w:pStyle w:val="Heading2"/>
      </w:pPr>
      <w:r>
        <w:rPr>
          <w:rFonts w:ascii="宋体" w:hAnsi="宋体" w:eastAsia="宋体"/>
          <w:b/>
          <w:sz w:val="26"/>
        </w:rPr>
        <w:t>4.1 YOLOv8 检测模型</w:t>
      </w:r>
    </w:p>
    <w:p>
      <w:pPr>
        <w:spacing w:line="300" w:lineRule="auto"/>
        <w:ind w:firstLine="420"/>
      </w:pPr>
      <w:r>
        <w:rPr>
          <w:rFonts w:ascii="宋体" w:hAnsi="宋体" w:eastAsia="宋体"/>
        </w:rPr>
        <w:t>目标检测部分采用 YOLOv8n。YOLOv8n 是较小规模的一阶段检测器，训练和推理速度较快，适合课程实验中快速验证完整流程。模型输入尺寸设为 640，训练使用 batch size 16。当前报告采用 20 epoch 结果，配置文件中保留 80 epoch 作为进一步提升 mAP 的完整设置。</w:t>
      </w:r>
    </w:p>
    <w:p>
      <w:pPr>
        <w:spacing w:line="300" w:lineRule="auto"/>
        <w:ind w:firstLine="420"/>
      </w:pPr>
      <w:r>
        <w:rPr>
          <w:rFonts w:ascii="宋体" w:hAnsi="宋体" w:eastAsia="宋体"/>
        </w:rPr>
        <w:t>Road Vehicle 数据集类别数较多，车辆姿态、遮挡、尺度和背景复杂度差异较大，因此 20 epoch 的 mAP50 仍有提升空间。当前训练重点是完成从数据格式转换、检测器微调、验证集评估到视频跟踪计数的端到端流程，并通过图表和日志说明模型行为。</w:t>
      </w:r>
    </w:p>
    <w:p>
      <w:pPr>
        <w:jc w:val="center"/>
      </w:pPr>
      <w:r>
        <w:rPr>
          <w:rFonts w:ascii="宋体" w:hAnsi="宋体" w:eastAsia="宋体"/>
          <w:i/>
          <w:sz w:val="18"/>
        </w:rPr>
        <w:t>表6 YOLOv8 检测训练设置</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Pr>
                <w:rFonts w:ascii="宋体" w:hAnsi="宋体" w:eastAsia="宋体"/>
                <w:sz w:val="18"/>
              </w:rPr>
              <w:t>项目</w:t>
            </w:r>
          </w:p>
        </w:tc>
        <w:tc>
          <w:tcPr>
            <w:tcW w:type="dxa" w:w="4703"/>
          </w:tcPr>
          <w:p>
            <w:pPr>
              <w:jc w:val="center"/>
            </w:pPr>
            <w:r>
              <w:rPr>
                <w:rFonts w:ascii="宋体" w:hAnsi="宋体" w:eastAsia="宋体"/>
                <w:sz w:val="18"/>
              </w:rPr>
              <w:t>设置</w:t>
            </w:r>
          </w:p>
        </w:tc>
      </w:tr>
      <w:tr>
        <w:tc>
          <w:tcPr>
            <w:tcW w:type="dxa" w:w="4703"/>
          </w:tcPr>
          <w:p>
            <w:pPr>
              <w:jc w:val="center"/>
            </w:pPr>
            <w:r>
              <w:rPr>
                <w:rFonts w:ascii="宋体" w:hAnsi="宋体" w:eastAsia="宋体"/>
                <w:sz w:val="18"/>
              </w:rPr>
              <w:t>检测器</w:t>
            </w:r>
          </w:p>
        </w:tc>
        <w:tc>
          <w:tcPr>
            <w:tcW w:type="dxa" w:w="4703"/>
          </w:tcPr>
          <w:p>
            <w:pPr>
              <w:jc w:val="center"/>
            </w:pPr>
            <w:r>
              <w:rPr>
                <w:rFonts w:ascii="宋体" w:hAnsi="宋体" w:eastAsia="宋体"/>
                <w:sz w:val="18"/>
              </w:rPr>
              <w:t>YOLOv8n</w:t>
            </w:r>
          </w:p>
        </w:tc>
      </w:tr>
      <w:tr>
        <w:tc>
          <w:tcPr>
            <w:tcW w:type="dxa" w:w="4703"/>
          </w:tcPr>
          <w:p>
            <w:pPr>
              <w:jc w:val="center"/>
            </w:pPr>
            <w:r>
              <w:rPr>
                <w:rFonts w:ascii="宋体" w:hAnsi="宋体" w:eastAsia="宋体"/>
                <w:sz w:val="18"/>
              </w:rPr>
              <w:t>训练轮数</w:t>
            </w:r>
          </w:p>
        </w:tc>
        <w:tc>
          <w:tcPr>
            <w:tcW w:type="dxa" w:w="4703"/>
          </w:tcPr>
          <w:p>
            <w:pPr>
              <w:jc w:val="center"/>
            </w:pPr>
            <w:r>
              <w:rPr>
                <w:rFonts w:ascii="宋体" w:hAnsi="宋体" w:eastAsia="宋体"/>
                <w:sz w:val="18"/>
              </w:rPr>
              <w:t>20 epoch</w:t>
            </w:r>
          </w:p>
        </w:tc>
      </w:tr>
      <w:tr>
        <w:tc>
          <w:tcPr>
            <w:tcW w:type="dxa" w:w="4703"/>
          </w:tcPr>
          <w:p>
            <w:pPr>
              <w:jc w:val="center"/>
            </w:pPr>
            <w:r>
              <w:rPr>
                <w:rFonts w:ascii="宋体" w:hAnsi="宋体" w:eastAsia="宋体"/>
                <w:sz w:val="18"/>
              </w:rPr>
              <w:t>完整配置</w:t>
            </w:r>
          </w:p>
        </w:tc>
        <w:tc>
          <w:tcPr>
            <w:tcW w:type="dxa" w:w="4703"/>
          </w:tcPr>
          <w:p>
            <w:pPr>
              <w:jc w:val="center"/>
            </w:pPr>
            <w:r>
              <w:rPr>
                <w:rFonts w:ascii="宋体" w:hAnsi="宋体" w:eastAsia="宋体"/>
                <w:sz w:val="18"/>
              </w:rPr>
              <w:t>80 epoch</w:t>
            </w:r>
          </w:p>
        </w:tc>
      </w:tr>
      <w:tr>
        <w:tc>
          <w:tcPr>
            <w:tcW w:type="dxa" w:w="4703"/>
          </w:tcPr>
          <w:p>
            <w:pPr>
              <w:jc w:val="center"/>
            </w:pPr>
            <w:r>
              <w:rPr>
                <w:rFonts w:ascii="宋体" w:hAnsi="宋体" w:eastAsia="宋体"/>
                <w:sz w:val="18"/>
              </w:rPr>
              <w:t>输入尺寸</w:t>
            </w:r>
          </w:p>
        </w:tc>
        <w:tc>
          <w:tcPr>
            <w:tcW w:type="dxa" w:w="4703"/>
          </w:tcPr>
          <w:p>
            <w:pPr>
              <w:jc w:val="center"/>
            </w:pPr>
            <w:r>
              <w:rPr>
                <w:rFonts w:ascii="宋体" w:hAnsi="宋体" w:eastAsia="宋体"/>
                <w:sz w:val="18"/>
              </w:rPr>
              <w:t>640</w:t>
            </w:r>
          </w:p>
        </w:tc>
      </w:tr>
      <w:tr>
        <w:tc>
          <w:tcPr>
            <w:tcW w:type="dxa" w:w="4703"/>
          </w:tcPr>
          <w:p>
            <w:pPr>
              <w:jc w:val="center"/>
            </w:pPr>
            <w:r>
              <w:rPr>
                <w:rFonts w:ascii="宋体" w:hAnsi="宋体" w:eastAsia="宋体"/>
                <w:sz w:val="18"/>
              </w:rPr>
              <w:t>Batch size</w:t>
            </w:r>
          </w:p>
        </w:tc>
        <w:tc>
          <w:tcPr>
            <w:tcW w:type="dxa" w:w="4703"/>
          </w:tcPr>
          <w:p>
            <w:pPr>
              <w:jc w:val="center"/>
            </w:pPr>
            <w:r>
              <w:rPr>
                <w:rFonts w:ascii="宋体" w:hAnsi="宋体" w:eastAsia="宋体"/>
                <w:sz w:val="18"/>
              </w:rPr>
              <w:t>16</w:t>
            </w:r>
          </w:p>
        </w:tc>
      </w:tr>
      <w:tr>
        <w:tc>
          <w:tcPr>
            <w:tcW w:type="dxa" w:w="4703"/>
          </w:tcPr>
          <w:p>
            <w:pPr>
              <w:jc w:val="center"/>
            </w:pPr>
            <w:r>
              <w:rPr>
                <w:rFonts w:ascii="宋体" w:hAnsi="宋体" w:eastAsia="宋体"/>
                <w:sz w:val="18"/>
              </w:rPr>
              <w:t>验证指标</w:t>
            </w:r>
          </w:p>
        </w:tc>
        <w:tc>
          <w:tcPr>
            <w:tcW w:type="dxa" w:w="4703"/>
          </w:tcPr>
          <w:p>
            <w:pPr>
              <w:jc w:val="center"/>
            </w:pPr>
            <w:r>
              <w:rPr>
                <w:rFonts w:ascii="宋体" w:hAnsi="宋体" w:eastAsia="宋体"/>
                <w:sz w:val="18"/>
              </w:rPr>
              <w:t>Precision、Recall、mAP50、mAP50-95</w:t>
            </w:r>
          </w:p>
        </w:tc>
      </w:tr>
    </w:tbl>
    <w:p>
      <w:pPr>
        <w:jc w:val="center"/>
      </w:pPr>
      <w:r>
        <w:rPr>
          <w:rFonts w:ascii="宋体" w:hAnsi="宋体" w:eastAsia="宋体"/>
          <w:i/>
          <w:sz w:val="18"/>
        </w:rPr>
        <w:t>表7 YOLOv8 验证结果</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宋体" w:hAnsi="宋体" w:eastAsia="宋体"/>
                <w:sz w:val="18"/>
              </w:rPr>
              <w:t>Epoch</w:t>
            </w:r>
          </w:p>
        </w:tc>
        <w:tc>
          <w:tcPr>
            <w:tcW w:type="dxa" w:w="1881"/>
          </w:tcPr>
          <w:p>
            <w:pPr>
              <w:jc w:val="center"/>
            </w:pPr>
            <w:r>
              <w:rPr>
                <w:rFonts w:ascii="宋体" w:hAnsi="宋体" w:eastAsia="宋体"/>
                <w:sz w:val="18"/>
              </w:rPr>
              <w:t>Precision</w:t>
            </w:r>
          </w:p>
        </w:tc>
        <w:tc>
          <w:tcPr>
            <w:tcW w:type="dxa" w:w="1881"/>
          </w:tcPr>
          <w:p>
            <w:pPr>
              <w:jc w:val="center"/>
            </w:pPr>
            <w:r>
              <w:rPr>
                <w:rFonts w:ascii="宋体" w:hAnsi="宋体" w:eastAsia="宋体"/>
                <w:sz w:val="18"/>
              </w:rPr>
              <w:t>Recall</w:t>
            </w:r>
          </w:p>
        </w:tc>
        <w:tc>
          <w:tcPr>
            <w:tcW w:type="dxa" w:w="1881"/>
          </w:tcPr>
          <w:p>
            <w:pPr>
              <w:jc w:val="center"/>
            </w:pPr>
            <w:r>
              <w:rPr>
                <w:rFonts w:ascii="宋体" w:hAnsi="宋体" w:eastAsia="宋体"/>
                <w:sz w:val="18"/>
              </w:rPr>
              <w:t>mAP50</w:t>
            </w:r>
          </w:p>
        </w:tc>
        <w:tc>
          <w:tcPr>
            <w:tcW w:type="dxa" w:w="1881"/>
          </w:tcPr>
          <w:p>
            <w:pPr>
              <w:jc w:val="center"/>
            </w:pPr>
            <w:r>
              <w:rPr>
                <w:rFonts w:ascii="宋体" w:hAnsi="宋体" w:eastAsia="宋体"/>
                <w:sz w:val="18"/>
              </w:rPr>
              <w:t>mAP50-95</w:t>
            </w:r>
          </w:p>
        </w:tc>
      </w:tr>
      <w:tr>
        <w:tc>
          <w:tcPr>
            <w:tcW w:type="dxa" w:w="1881"/>
          </w:tcPr>
          <w:p>
            <w:pPr>
              <w:jc w:val="center"/>
            </w:pPr>
            <w:r>
              <w:rPr>
                <w:rFonts w:ascii="宋体" w:hAnsi="宋体" w:eastAsia="宋体"/>
                <w:sz w:val="18"/>
              </w:rPr>
              <w:t>20</w:t>
            </w:r>
          </w:p>
        </w:tc>
        <w:tc>
          <w:tcPr>
            <w:tcW w:type="dxa" w:w="1881"/>
          </w:tcPr>
          <w:p>
            <w:pPr>
              <w:jc w:val="center"/>
            </w:pPr>
            <w:r>
              <w:rPr>
                <w:rFonts w:ascii="宋体" w:hAnsi="宋体" w:eastAsia="宋体"/>
                <w:sz w:val="18"/>
              </w:rPr>
              <w:t>0.6241</w:t>
            </w:r>
          </w:p>
        </w:tc>
        <w:tc>
          <w:tcPr>
            <w:tcW w:type="dxa" w:w="1881"/>
          </w:tcPr>
          <w:p>
            <w:pPr>
              <w:jc w:val="center"/>
            </w:pPr>
            <w:r>
              <w:rPr>
                <w:rFonts w:ascii="宋体" w:hAnsi="宋体" w:eastAsia="宋体"/>
                <w:sz w:val="18"/>
              </w:rPr>
              <w:t>0.3487</w:t>
            </w:r>
          </w:p>
        </w:tc>
        <w:tc>
          <w:tcPr>
            <w:tcW w:type="dxa" w:w="1881"/>
          </w:tcPr>
          <w:p>
            <w:pPr>
              <w:jc w:val="center"/>
            </w:pPr>
            <w:r>
              <w:rPr>
                <w:rFonts w:ascii="宋体" w:hAnsi="宋体" w:eastAsia="宋体"/>
                <w:sz w:val="18"/>
              </w:rPr>
              <w:t>0.3770</w:t>
            </w:r>
          </w:p>
        </w:tc>
        <w:tc>
          <w:tcPr>
            <w:tcW w:type="dxa" w:w="1881"/>
          </w:tcPr>
          <w:p>
            <w:pPr>
              <w:jc w:val="center"/>
            </w:pPr>
            <w:r>
              <w:rPr>
                <w:rFonts w:ascii="宋体" w:hAnsi="宋体" w:eastAsia="宋体"/>
                <w:sz w:val="18"/>
              </w:rPr>
              <w:t>0.2228</w:t>
            </w:r>
          </w:p>
        </w:tc>
      </w:tr>
    </w:tbl>
    <w:p>
      <w:pPr>
        <w:jc w:val="center"/>
      </w:pPr>
      <w:r>
        <w:drawing>
          <wp:inline xmlns:a="http://schemas.openxmlformats.org/drawingml/2006/main" xmlns:pic="http://schemas.openxmlformats.org/drawingml/2006/picture">
            <wp:extent cx="5580000" cy="2790000"/>
            <wp:docPr id="5" name="Picture 5"/>
            <wp:cNvGraphicFramePr>
              <a:graphicFrameLocks noChangeAspect="1"/>
            </wp:cNvGraphicFramePr>
            <a:graphic>
              <a:graphicData uri="http://schemas.openxmlformats.org/drawingml/2006/picture">
                <pic:pic>
                  <pic:nvPicPr>
                    <pic:cNvPr id="0" name="task2_yolov8_results.png"/>
                    <pic:cNvPicPr/>
                  </pic:nvPicPr>
                  <pic:blipFill>
                    <a:blip r:embed="rId13"/>
                    <a:stretch>
                      <a:fillRect/>
                    </a:stretch>
                  </pic:blipFill>
                  <pic:spPr>
                    <a:xfrm>
                      <a:off x="0" y="0"/>
                      <a:ext cx="5580000" cy="2790000"/>
                    </a:xfrm>
                    <a:prstGeom prst="rect"/>
                  </pic:spPr>
                </pic:pic>
              </a:graphicData>
            </a:graphic>
          </wp:inline>
        </w:drawing>
      </w:r>
    </w:p>
    <w:p>
      <w:pPr>
        <w:jc w:val="center"/>
      </w:pPr>
      <w:r>
        <w:rPr>
          <w:rFonts w:ascii="宋体" w:hAnsi="宋体" w:eastAsia="宋体"/>
          <w:i/>
          <w:sz w:val="18"/>
        </w:rPr>
        <w:t>图5 YOLOv8 训练过程指标曲线</w:t>
      </w:r>
    </w:p>
    <w:p>
      <w:pPr>
        <w:jc w:val="center"/>
      </w:pPr>
      <w:r>
        <w:drawing>
          <wp:inline xmlns:a="http://schemas.openxmlformats.org/drawingml/2006/main" xmlns:pic="http://schemas.openxmlformats.org/drawingml/2006/picture">
            <wp:extent cx="5580000" cy="3196875"/>
            <wp:docPr id="6" name="Picture 6"/>
            <wp:cNvGraphicFramePr>
              <a:graphicFrameLocks noChangeAspect="1"/>
            </wp:cNvGraphicFramePr>
            <a:graphic>
              <a:graphicData uri="http://schemas.openxmlformats.org/drawingml/2006/picture">
                <pic:pic>
                  <pic:nvPicPr>
                    <pic:cNvPr id="0" name="task2_val_batch0_pred.jpg"/>
                    <pic:cNvPicPr/>
                  </pic:nvPicPr>
                  <pic:blipFill>
                    <a:blip r:embed="rId14"/>
                    <a:stretch>
                      <a:fillRect/>
                    </a:stretch>
                  </pic:blipFill>
                  <pic:spPr>
                    <a:xfrm>
                      <a:off x="0" y="0"/>
                      <a:ext cx="5580000" cy="3196875"/>
                    </a:xfrm>
                    <a:prstGeom prst="rect"/>
                  </pic:spPr>
                </pic:pic>
              </a:graphicData>
            </a:graphic>
          </wp:inline>
        </w:drawing>
      </w:r>
    </w:p>
    <w:p>
      <w:pPr>
        <w:jc w:val="center"/>
      </w:pPr>
      <w:r>
        <w:rPr>
          <w:rFonts w:ascii="宋体" w:hAnsi="宋体" w:eastAsia="宋体"/>
          <w:i/>
          <w:sz w:val="18"/>
        </w:rPr>
        <w:t>图6 Road Vehicle 验证集预测示例</w:t>
      </w:r>
    </w:p>
    <w:p>
      <w:pPr>
        <w:jc w:val="center"/>
      </w:pPr>
      <w:r>
        <w:drawing>
          <wp:inline xmlns:a="http://schemas.openxmlformats.org/drawingml/2006/main" xmlns:pic="http://schemas.openxmlformats.org/drawingml/2006/picture">
            <wp:extent cx="5040000" cy="3780000"/>
            <wp:docPr id="7" name="Picture 7"/>
            <wp:cNvGraphicFramePr>
              <a:graphicFrameLocks noChangeAspect="1"/>
            </wp:cNvGraphicFramePr>
            <a:graphic>
              <a:graphicData uri="http://schemas.openxmlformats.org/drawingml/2006/picture">
                <pic:pic>
                  <pic:nvPicPr>
                    <pic:cNvPr id="0" name="task2_confusion_matrix.png"/>
                    <pic:cNvPicPr/>
                  </pic:nvPicPr>
                  <pic:blipFill>
                    <a:blip r:embed="rId15"/>
                    <a:stretch>
                      <a:fillRect/>
                    </a:stretch>
                  </pic:blipFill>
                  <pic:spPr>
                    <a:xfrm>
                      <a:off x="0" y="0"/>
                      <a:ext cx="5040000" cy="3780000"/>
                    </a:xfrm>
                    <a:prstGeom prst="rect"/>
                  </pic:spPr>
                </pic:pic>
              </a:graphicData>
            </a:graphic>
          </wp:inline>
        </w:drawing>
      </w:r>
    </w:p>
    <w:p>
      <w:pPr>
        <w:jc w:val="center"/>
      </w:pPr>
      <w:r>
        <w:rPr>
          <w:rFonts w:ascii="宋体" w:hAnsi="宋体" w:eastAsia="宋体"/>
          <w:i/>
          <w:sz w:val="18"/>
        </w:rPr>
        <w:t>图7 YOLOv8 验证集混淆矩阵</w:t>
      </w:r>
    </w:p>
    <w:p>
      <w:pPr>
        <w:spacing w:line="300" w:lineRule="auto"/>
        <w:ind w:firstLine="420"/>
      </w:pPr>
      <w:r>
        <w:rPr>
          <w:rFonts w:ascii="宋体" w:hAnsi="宋体" w:eastAsia="宋体"/>
        </w:rPr>
        <w:t>图5展示了训练过程中的损失和 mAP 指标变化。随着 epoch 增加，模型逐步降低定位和分类损失，mAP50 在后期继续上升，说明 20 epoch 并未完全收敛。图6中的验证集预测可以直观看到模型已经能够定位多数车辆目标，但对密集目标、远距离小目标和相似类别仍会出现漏检或混淆。图7的混淆矩阵进一步说明，多类别车辆检测的主要困难来自类别外观相近和标注类别粒度较细。</w:t>
      </w:r>
    </w:p>
    <w:p>
      <w:pPr>
        <w:pStyle w:val="Heading2"/>
      </w:pPr>
      <w:r>
        <w:rPr>
          <w:rFonts w:ascii="宋体" w:hAnsi="宋体" w:eastAsia="宋体"/>
          <w:b/>
          <w:sz w:val="26"/>
        </w:rPr>
        <w:t>4.2 多目标跟踪、遮挡分析与越线计数</w:t>
      </w:r>
    </w:p>
    <w:p>
      <w:pPr>
        <w:spacing w:line="300" w:lineRule="auto"/>
        <w:ind w:firstLine="420"/>
      </w:pPr>
      <w:r>
        <w:rPr>
          <w:rFonts w:ascii="宋体" w:hAnsi="宋体" w:eastAsia="宋体"/>
        </w:rPr>
        <w:t>视频阶段使用 YOLOv8 内置 tracking 流程，并采用 BoT-SORT 进行跨帧目标关联。每一帧先由检测器输出车辆 bounding box、类别和置信度，再由跟踪器根据位置、运动和匹配分数维护 Tracking ID。计数逻辑不直接统计检测框数量，而是维护每个 ID 的上一帧中心点位置；当中心点从虚拟线一侧移动到另一侧时，且该 ID 尚未被计数，才累计一次。</w:t>
      </w:r>
    </w:p>
    <w:p>
      <w:pPr>
        <w:spacing w:line="300" w:lineRule="auto"/>
        <w:ind w:firstLine="420"/>
      </w:pPr>
      <w:r>
        <w:rPr>
          <w:rFonts w:ascii="宋体" w:hAnsi="宋体" w:eastAsia="宋体"/>
        </w:rPr>
        <w:t>当前演示视频为 12 秒合成片段，主要用于稳定复现多目标交汇和越线计数。跟踪日志共记录 2677 条检测结果、67 个唯一 Tracking ID，虚拟线设置为画面中线 `640,0,640,720`，最终得到 9 次越线计数。合成视频不是实拍道路视频，因此最终提交前如果有条件，可以替换为 10-30 秒真实道路片段，并复用同一脚本生成新日志和遮挡帧。</w:t>
      </w:r>
    </w:p>
    <w:p>
      <w:pPr>
        <w:jc w:val="center"/>
      </w:pPr>
      <w:r>
        <w:rPr>
          <w:rFonts w:ascii="宋体" w:hAnsi="宋体" w:eastAsia="宋体"/>
          <w:i/>
          <w:sz w:val="18"/>
        </w:rPr>
        <w:t>表8 跟踪与越线计数结果</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Pr>
                <w:rFonts w:ascii="宋体" w:hAnsi="宋体" w:eastAsia="宋体"/>
                <w:sz w:val="18"/>
              </w:rPr>
              <w:t>项目</w:t>
            </w:r>
          </w:p>
        </w:tc>
        <w:tc>
          <w:tcPr>
            <w:tcW w:type="dxa" w:w="4703"/>
          </w:tcPr>
          <w:p>
            <w:pPr>
              <w:jc w:val="center"/>
            </w:pPr>
            <w:r>
              <w:rPr>
                <w:rFonts w:ascii="宋体" w:hAnsi="宋体" w:eastAsia="宋体"/>
                <w:sz w:val="18"/>
              </w:rPr>
              <w:t>结果</w:t>
            </w:r>
          </w:p>
        </w:tc>
      </w:tr>
      <w:tr>
        <w:tc>
          <w:tcPr>
            <w:tcW w:type="dxa" w:w="4703"/>
          </w:tcPr>
          <w:p>
            <w:pPr>
              <w:jc w:val="center"/>
            </w:pPr>
            <w:r>
              <w:rPr>
                <w:rFonts w:ascii="宋体" w:hAnsi="宋体" w:eastAsia="宋体"/>
                <w:sz w:val="18"/>
              </w:rPr>
              <w:t>视频长度</w:t>
            </w:r>
          </w:p>
        </w:tc>
        <w:tc>
          <w:tcPr>
            <w:tcW w:type="dxa" w:w="4703"/>
          </w:tcPr>
          <w:p>
            <w:pPr>
              <w:jc w:val="center"/>
            </w:pPr>
            <w:r>
              <w:rPr>
                <w:rFonts w:ascii="宋体" w:hAnsi="宋体" w:eastAsia="宋体"/>
                <w:sz w:val="18"/>
              </w:rPr>
              <w:t>12 秒</w:t>
            </w:r>
          </w:p>
        </w:tc>
      </w:tr>
      <w:tr>
        <w:tc>
          <w:tcPr>
            <w:tcW w:type="dxa" w:w="4703"/>
          </w:tcPr>
          <w:p>
            <w:pPr>
              <w:jc w:val="center"/>
            </w:pPr>
            <w:r>
              <w:rPr>
                <w:rFonts w:ascii="宋体" w:hAnsi="宋体" w:eastAsia="宋体"/>
                <w:sz w:val="18"/>
              </w:rPr>
              <w:t>跟踪日志行数</w:t>
            </w:r>
          </w:p>
        </w:tc>
        <w:tc>
          <w:tcPr>
            <w:tcW w:type="dxa" w:w="4703"/>
          </w:tcPr>
          <w:p>
            <w:pPr>
              <w:jc w:val="center"/>
            </w:pPr>
            <w:r>
              <w:rPr>
                <w:rFonts w:ascii="宋体" w:hAnsi="宋体" w:eastAsia="宋体"/>
                <w:sz w:val="18"/>
              </w:rPr>
              <w:t>2677</w:t>
            </w:r>
          </w:p>
        </w:tc>
      </w:tr>
      <w:tr>
        <w:tc>
          <w:tcPr>
            <w:tcW w:type="dxa" w:w="4703"/>
          </w:tcPr>
          <w:p>
            <w:pPr>
              <w:jc w:val="center"/>
            </w:pPr>
            <w:r>
              <w:rPr>
                <w:rFonts w:ascii="宋体" w:hAnsi="宋体" w:eastAsia="宋体"/>
                <w:sz w:val="18"/>
              </w:rPr>
              <w:t>唯一 Tracking ID</w:t>
            </w:r>
          </w:p>
        </w:tc>
        <w:tc>
          <w:tcPr>
            <w:tcW w:type="dxa" w:w="4703"/>
          </w:tcPr>
          <w:p>
            <w:pPr>
              <w:jc w:val="center"/>
            </w:pPr>
            <w:r>
              <w:rPr>
                <w:rFonts w:ascii="宋体" w:hAnsi="宋体" w:eastAsia="宋体"/>
                <w:sz w:val="18"/>
              </w:rPr>
              <w:t>67</w:t>
            </w:r>
          </w:p>
        </w:tc>
      </w:tr>
      <w:tr>
        <w:tc>
          <w:tcPr>
            <w:tcW w:type="dxa" w:w="4703"/>
          </w:tcPr>
          <w:p>
            <w:pPr>
              <w:jc w:val="center"/>
            </w:pPr>
            <w:r>
              <w:rPr>
                <w:rFonts w:ascii="宋体" w:hAnsi="宋体" w:eastAsia="宋体"/>
                <w:sz w:val="18"/>
              </w:rPr>
              <w:t>虚拟线</w:t>
            </w:r>
          </w:p>
        </w:tc>
        <w:tc>
          <w:tcPr>
            <w:tcW w:type="dxa" w:w="4703"/>
          </w:tcPr>
          <w:p>
            <w:pPr>
              <w:jc w:val="center"/>
            </w:pPr>
            <w:r>
              <w:rPr>
                <w:rFonts w:ascii="宋体" w:hAnsi="宋体" w:eastAsia="宋体"/>
                <w:sz w:val="18"/>
              </w:rPr>
              <w:t>640,0,640,720</w:t>
            </w:r>
          </w:p>
        </w:tc>
      </w:tr>
      <w:tr>
        <w:tc>
          <w:tcPr>
            <w:tcW w:type="dxa" w:w="4703"/>
          </w:tcPr>
          <w:p>
            <w:pPr>
              <w:jc w:val="center"/>
            </w:pPr>
            <w:r>
              <w:rPr>
                <w:rFonts w:ascii="宋体" w:hAnsi="宋体" w:eastAsia="宋体"/>
                <w:sz w:val="18"/>
              </w:rPr>
              <w:t>越线计数</w:t>
            </w:r>
          </w:p>
        </w:tc>
        <w:tc>
          <w:tcPr>
            <w:tcW w:type="dxa" w:w="4703"/>
          </w:tcPr>
          <w:p>
            <w:pPr>
              <w:jc w:val="center"/>
            </w:pPr>
            <w:r>
              <w:rPr>
                <w:rFonts w:ascii="宋体" w:hAnsi="宋体" w:eastAsia="宋体"/>
                <w:sz w:val="18"/>
              </w:rPr>
              <w:t>9</w:t>
            </w:r>
          </w:p>
        </w:tc>
      </w:tr>
      <w:tr>
        <w:tc>
          <w:tcPr>
            <w:tcW w:type="dxa" w:w="4703"/>
          </w:tcPr>
          <w:p>
            <w:pPr>
              <w:jc w:val="center"/>
            </w:pPr>
            <w:r>
              <w:rPr>
                <w:rFonts w:ascii="宋体" w:hAnsi="宋体" w:eastAsia="宋体"/>
                <w:sz w:val="18"/>
              </w:rPr>
              <w:t>输出视频</w:t>
            </w:r>
          </w:p>
        </w:tc>
        <w:tc>
          <w:tcPr>
            <w:tcW w:type="dxa" w:w="4703"/>
          </w:tcPr>
          <w:p>
            <w:pPr>
              <w:jc w:val="center"/>
            </w:pPr>
            <w:r>
              <w:rPr>
                <w:rFonts w:ascii="宋体" w:hAnsi="宋体" w:eastAsia="宋体"/>
                <w:sz w:val="18"/>
              </w:rPr>
              <w:t>runs/task2_detection/tracking_demo/tracked_counted.mp4</w:t>
            </w:r>
          </w:p>
        </w:tc>
      </w:tr>
    </w:tbl>
    <w:p>
      <w:pPr>
        <w:jc w:val="center"/>
      </w:pPr>
      <w:r>
        <w:drawing>
          <wp:inline xmlns:a="http://schemas.openxmlformats.org/drawingml/2006/main" xmlns:pic="http://schemas.openxmlformats.org/drawingml/2006/picture">
            <wp:extent cx="5580000" cy="4097729"/>
            <wp:docPr id="8" name="Picture 8"/>
            <wp:cNvGraphicFramePr>
              <a:graphicFrameLocks noChangeAspect="1"/>
            </wp:cNvGraphicFramePr>
            <a:graphic>
              <a:graphicData uri="http://schemas.openxmlformats.org/drawingml/2006/picture">
                <pic:pic>
                  <pic:nvPicPr>
                    <pic:cNvPr id="0" name="task2_overview_grid.jpg"/>
                    <pic:cNvPicPr/>
                  </pic:nvPicPr>
                  <pic:blipFill>
                    <a:blip r:embed="rId16"/>
                    <a:stretch>
                      <a:fillRect/>
                    </a:stretch>
                  </pic:blipFill>
                  <pic:spPr>
                    <a:xfrm>
                      <a:off x="0" y="0"/>
                      <a:ext cx="5580000" cy="4097729"/>
                    </a:xfrm>
                    <a:prstGeom prst="rect"/>
                  </pic:spPr>
                </pic:pic>
              </a:graphicData>
            </a:graphic>
          </wp:inline>
        </w:drawing>
      </w:r>
    </w:p>
    <w:p>
      <w:pPr>
        <w:jc w:val="center"/>
      </w:pPr>
      <w:r>
        <w:rPr>
          <w:rFonts w:ascii="宋体" w:hAnsi="宋体" w:eastAsia="宋体"/>
          <w:i/>
          <w:sz w:val="18"/>
        </w:rPr>
        <w:t>图8 检测、预测、混淆矩阵和遮挡片段 2×2 概览图</w:t>
      </w:r>
    </w:p>
    <w:p>
      <w:pPr>
        <w:jc w:val="center"/>
      </w:pPr>
      <w:r>
        <w:drawing>
          <wp:inline xmlns:a="http://schemas.openxmlformats.org/drawingml/2006/main" xmlns:pic="http://schemas.openxmlformats.org/drawingml/2006/picture">
            <wp:extent cx="5580000" cy="3772278"/>
            <wp:docPr id="9" name="Picture 9"/>
            <wp:cNvGraphicFramePr>
              <a:graphicFrameLocks noChangeAspect="1"/>
            </wp:cNvGraphicFramePr>
            <a:graphic>
              <a:graphicData uri="http://schemas.openxmlformats.org/drawingml/2006/picture">
                <pic:pic>
                  <pic:nvPicPr>
                    <pic:cNvPr id="0" name="task2_occlusion_grid.jpg"/>
                    <pic:cNvPicPr/>
                  </pic:nvPicPr>
                  <pic:blipFill>
                    <a:blip r:embed="rId17"/>
                    <a:stretch>
                      <a:fillRect/>
                    </a:stretch>
                  </pic:blipFill>
                  <pic:spPr>
                    <a:xfrm>
                      <a:off x="0" y="0"/>
                      <a:ext cx="5580000" cy="3772278"/>
                    </a:xfrm>
                    <a:prstGeom prst="rect"/>
                  </pic:spPr>
                </pic:pic>
              </a:graphicData>
            </a:graphic>
          </wp:inline>
        </w:drawing>
      </w:r>
    </w:p>
    <w:p>
      <w:pPr>
        <w:jc w:val="center"/>
      </w:pPr>
      <w:r>
        <w:rPr>
          <w:rFonts w:ascii="宋体" w:hAnsi="宋体" w:eastAsia="宋体"/>
          <w:i/>
          <w:sz w:val="18"/>
        </w:rPr>
        <w:t>图9 连续 4 帧遮挡与密集交汇片段</w:t>
      </w:r>
    </w:p>
    <w:p>
      <w:pPr>
        <w:spacing w:line="300" w:lineRule="auto"/>
        <w:ind w:firstLine="420"/>
      </w:pPr>
      <w:r>
        <w:rPr>
          <w:rFonts w:ascii="宋体" w:hAnsi="宋体" w:eastAsia="宋体"/>
        </w:rPr>
        <w:t>图9展示了连续 4 帧中多目标靠近虚拟线的过程。该片段的分析重点不是单帧检测框是否完全准确，而是同一目标在相邻帧中是否保持相同 ID。多数目标在连续帧中可以维持 ID，说明运动关联在短时间内较稳定；但当车辆框重叠、目标被部分遮挡或检测置信度降低时，跟踪器仍可能出现短暂丢失和新 ID。越线计数依赖 ID 连续性，因此 ID switch 会带来漏计或重复计风险。</w:t>
      </w:r>
    </w:p>
    <w:p>
      <w:pPr>
        <w:spacing w:line="300" w:lineRule="auto"/>
        <w:ind w:firstLine="420"/>
      </w:pPr>
      <w:r>
        <w:rPr>
          <w:rFonts w:ascii="宋体" w:hAnsi="宋体" w:eastAsia="宋体"/>
        </w:rPr>
        <w:t>为降低重复计数，代码对已经跨线的 ID 做去重处理，即同一 ID 只计一次。这比单纯统计某一侧检测框数量更稳定，也更符合交通计数场景。但该方法仍受检测质量影响：如果目标在跨线前后被漏检，中心点轨迹会断裂；如果目标类别混淆但 ID 保持稳定，计数仍然正确，但类别统计会受影响。后续若需要更高可靠性，可以进一步加入方向统计、轨迹平滑和最小轨迹长度过滤。</w:t>
      </w:r>
    </w:p>
    <w:p>
      <w:pPr>
        <w:pStyle w:val="Heading1"/>
      </w:pPr>
      <w:r>
        <w:rPr>
          <w:rFonts w:ascii="宋体" w:hAnsi="宋体" w:eastAsia="宋体"/>
          <w:b/>
          <w:sz w:val="32"/>
        </w:rPr>
        <w:t>五、任务三：U-Net 语义分割与损失函数工程</w:t>
      </w:r>
    </w:p>
    <w:p>
      <w:pPr>
        <w:pStyle w:val="Heading2"/>
      </w:pPr>
      <w:r>
        <w:rPr>
          <w:rFonts w:ascii="宋体" w:hAnsi="宋体" w:eastAsia="宋体"/>
          <w:b/>
          <w:sz w:val="26"/>
        </w:rPr>
        <w:t>5.1 U-Net 结构设计</w:t>
      </w:r>
    </w:p>
    <w:p>
      <w:pPr>
        <w:spacing w:line="300" w:lineRule="auto"/>
        <w:ind w:firstLine="420"/>
      </w:pPr>
      <w:r>
        <w:rPr>
          <w:rFonts w:ascii="宋体" w:hAnsi="宋体" w:eastAsia="宋体"/>
        </w:rPr>
        <w:t>语义分割部分从零实现 U-Net，不加载任何预训练权重。模型由四级编码器、瓶颈层和四级解码器组成。编码器通过卷积块和下采样逐步扩大感受野，解码器通过上采样恢复空间分辨率，并与对应尺度的编码器特征做 skip connection。skip connection 能把浅层的边缘、纹理和位置信息传递到解码端，有助于恢复道路、树木和建筑边界。</w:t>
      </w:r>
    </w:p>
    <w:p>
      <w:pPr>
        <w:spacing w:line="300" w:lineRule="auto"/>
        <w:ind w:firstLine="420"/>
      </w:pPr>
      <w:r>
        <w:rPr>
          <w:rFonts w:ascii="宋体" w:hAnsi="宋体" w:eastAsia="宋体"/>
        </w:rPr>
        <w:t>每个卷积块使用两层 Conv-BN-ReLU。模型输出通道数等于 8 个语义类别，训练时对每个像素计算分类损失。由于 Stanford Background 的类别区域大小差异明显，单纯优化像素准确率容易偏向大面积类别，因此报告同时使用 mean IoU 衡量各类别区域重叠质量。</w:t>
      </w:r>
    </w:p>
    <w:p>
      <w:pPr>
        <w:jc w:val="center"/>
      </w:pPr>
      <w:r>
        <w:rPr>
          <w:rFonts w:ascii="宋体" w:hAnsi="宋体" w:eastAsia="宋体"/>
          <w:i/>
          <w:sz w:val="18"/>
        </w:rPr>
        <w:t>表9 U-Net 结构概览</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宋体" w:hAnsi="宋体" w:eastAsia="宋体"/>
                <w:sz w:val="18"/>
              </w:rPr>
              <w:t>模块</w:t>
            </w:r>
          </w:p>
        </w:tc>
        <w:tc>
          <w:tcPr>
            <w:tcW w:type="dxa" w:w="3135"/>
          </w:tcPr>
          <w:p>
            <w:pPr>
              <w:jc w:val="center"/>
            </w:pPr>
            <w:r>
              <w:rPr>
                <w:rFonts w:ascii="宋体" w:hAnsi="宋体" w:eastAsia="宋体"/>
                <w:sz w:val="18"/>
              </w:rPr>
              <w:t>结构</w:t>
            </w:r>
          </w:p>
        </w:tc>
        <w:tc>
          <w:tcPr>
            <w:tcW w:type="dxa" w:w="3135"/>
          </w:tcPr>
          <w:p>
            <w:pPr>
              <w:jc w:val="center"/>
            </w:pPr>
            <w:r>
              <w:rPr>
                <w:rFonts w:ascii="宋体" w:hAnsi="宋体" w:eastAsia="宋体"/>
                <w:sz w:val="18"/>
              </w:rPr>
              <w:t>作用</w:t>
            </w:r>
          </w:p>
        </w:tc>
      </w:tr>
      <w:tr>
        <w:tc>
          <w:tcPr>
            <w:tcW w:type="dxa" w:w="3135"/>
          </w:tcPr>
          <w:p>
            <w:pPr>
              <w:jc w:val="center"/>
            </w:pPr>
            <w:r>
              <w:rPr>
                <w:rFonts w:ascii="宋体" w:hAnsi="宋体" w:eastAsia="宋体"/>
                <w:sz w:val="18"/>
              </w:rPr>
              <w:t>Encoder</w:t>
            </w:r>
          </w:p>
        </w:tc>
        <w:tc>
          <w:tcPr>
            <w:tcW w:type="dxa" w:w="3135"/>
          </w:tcPr>
          <w:p>
            <w:pPr>
              <w:jc w:val="center"/>
            </w:pPr>
            <w:r>
              <w:rPr>
                <w:rFonts w:ascii="宋体" w:hAnsi="宋体" w:eastAsia="宋体"/>
                <w:sz w:val="18"/>
              </w:rPr>
              <w:t>4 级 Conv-BN-ReLU + 下采样</w:t>
            </w:r>
          </w:p>
        </w:tc>
        <w:tc>
          <w:tcPr>
            <w:tcW w:type="dxa" w:w="3135"/>
          </w:tcPr>
          <w:p>
            <w:pPr>
              <w:jc w:val="center"/>
            </w:pPr>
            <w:r>
              <w:rPr>
                <w:rFonts w:ascii="宋体" w:hAnsi="宋体" w:eastAsia="宋体"/>
                <w:sz w:val="18"/>
              </w:rPr>
              <w:t>提取多尺度上下文</w:t>
            </w:r>
          </w:p>
        </w:tc>
      </w:tr>
      <w:tr>
        <w:tc>
          <w:tcPr>
            <w:tcW w:type="dxa" w:w="3135"/>
          </w:tcPr>
          <w:p>
            <w:pPr>
              <w:jc w:val="center"/>
            </w:pPr>
            <w:r>
              <w:rPr>
                <w:rFonts w:ascii="宋体" w:hAnsi="宋体" w:eastAsia="宋体"/>
                <w:sz w:val="18"/>
              </w:rPr>
              <w:t>Bottleneck</w:t>
            </w:r>
          </w:p>
        </w:tc>
        <w:tc>
          <w:tcPr>
            <w:tcW w:type="dxa" w:w="3135"/>
          </w:tcPr>
          <w:p>
            <w:pPr>
              <w:jc w:val="center"/>
            </w:pPr>
            <w:r>
              <w:rPr>
                <w:rFonts w:ascii="宋体" w:hAnsi="宋体" w:eastAsia="宋体"/>
                <w:sz w:val="18"/>
              </w:rPr>
              <w:t>双卷积块</w:t>
            </w:r>
          </w:p>
        </w:tc>
        <w:tc>
          <w:tcPr>
            <w:tcW w:type="dxa" w:w="3135"/>
          </w:tcPr>
          <w:p>
            <w:pPr>
              <w:jc w:val="center"/>
            </w:pPr>
            <w:r>
              <w:rPr>
                <w:rFonts w:ascii="宋体" w:hAnsi="宋体" w:eastAsia="宋体"/>
                <w:sz w:val="18"/>
              </w:rPr>
              <w:t>聚合高层语义</w:t>
            </w:r>
          </w:p>
        </w:tc>
      </w:tr>
      <w:tr>
        <w:tc>
          <w:tcPr>
            <w:tcW w:type="dxa" w:w="3135"/>
          </w:tcPr>
          <w:p>
            <w:pPr>
              <w:jc w:val="center"/>
            </w:pPr>
            <w:r>
              <w:rPr>
                <w:rFonts w:ascii="宋体" w:hAnsi="宋体" w:eastAsia="宋体"/>
                <w:sz w:val="18"/>
              </w:rPr>
              <w:t>Decoder</w:t>
            </w:r>
          </w:p>
        </w:tc>
        <w:tc>
          <w:tcPr>
            <w:tcW w:type="dxa" w:w="3135"/>
          </w:tcPr>
          <w:p>
            <w:pPr>
              <w:jc w:val="center"/>
            </w:pPr>
            <w:r>
              <w:rPr>
                <w:rFonts w:ascii="宋体" w:hAnsi="宋体" w:eastAsia="宋体"/>
                <w:sz w:val="18"/>
              </w:rPr>
              <w:t>4 级上采样 + skip connection</w:t>
            </w:r>
          </w:p>
        </w:tc>
        <w:tc>
          <w:tcPr>
            <w:tcW w:type="dxa" w:w="3135"/>
          </w:tcPr>
          <w:p>
            <w:pPr>
              <w:jc w:val="center"/>
            </w:pPr>
            <w:r>
              <w:rPr>
                <w:rFonts w:ascii="宋体" w:hAnsi="宋体" w:eastAsia="宋体"/>
                <w:sz w:val="18"/>
              </w:rPr>
              <w:t>恢复空间细节</w:t>
            </w:r>
          </w:p>
        </w:tc>
      </w:tr>
      <w:tr>
        <w:tc>
          <w:tcPr>
            <w:tcW w:type="dxa" w:w="3135"/>
          </w:tcPr>
          <w:p>
            <w:pPr>
              <w:jc w:val="center"/>
            </w:pPr>
            <w:r>
              <w:rPr>
                <w:rFonts w:ascii="宋体" w:hAnsi="宋体" w:eastAsia="宋体"/>
                <w:sz w:val="18"/>
              </w:rPr>
              <w:t>Head</w:t>
            </w:r>
          </w:p>
        </w:tc>
        <w:tc>
          <w:tcPr>
            <w:tcW w:type="dxa" w:w="3135"/>
          </w:tcPr>
          <w:p>
            <w:pPr>
              <w:jc w:val="center"/>
            </w:pPr>
            <w:r>
              <w:rPr>
                <w:rFonts w:ascii="宋体" w:hAnsi="宋体" w:eastAsia="宋体"/>
                <w:sz w:val="18"/>
              </w:rPr>
              <w:t>1×1 卷积</w:t>
            </w:r>
          </w:p>
        </w:tc>
        <w:tc>
          <w:tcPr>
            <w:tcW w:type="dxa" w:w="3135"/>
          </w:tcPr>
          <w:p>
            <w:pPr>
              <w:jc w:val="center"/>
            </w:pPr>
            <w:r>
              <w:rPr>
                <w:rFonts w:ascii="宋体" w:hAnsi="宋体" w:eastAsia="宋体"/>
                <w:sz w:val="18"/>
              </w:rPr>
              <w:t>输出 8 类 logits</w:t>
            </w:r>
          </w:p>
        </w:tc>
      </w:tr>
      <w:tr>
        <w:tc>
          <w:tcPr>
            <w:tcW w:type="dxa" w:w="3135"/>
          </w:tcPr>
          <w:p>
            <w:pPr>
              <w:jc w:val="center"/>
            </w:pPr>
            <w:r>
              <w:rPr>
                <w:rFonts w:ascii="宋体" w:hAnsi="宋体" w:eastAsia="宋体"/>
                <w:sz w:val="18"/>
              </w:rPr>
              <w:t>初始化</w:t>
            </w:r>
          </w:p>
        </w:tc>
        <w:tc>
          <w:tcPr>
            <w:tcW w:type="dxa" w:w="3135"/>
          </w:tcPr>
          <w:p>
            <w:pPr>
              <w:jc w:val="center"/>
            </w:pPr>
            <w:r>
              <w:rPr>
                <w:rFonts w:ascii="宋体" w:hAnsi="宋体" w:eastAsia="宋体"/>
                <w:sz w:val="18"/>
              </w:rPr>
              <w:t>随机初始化</w:t>
            </w:r>
          </w:p>
        </w:tc>
        <w:tc>
          <w:tcPr>
            <w:tcW w:type="dxa" w:w="3135"/>
          </w:tcPr>
          <w:p>
            <w:pPr>
              <w:jc w:val="center"/>
            </w:pPr>
            <w:r>
              <w:rPr>
                <w:rFonts w:ascii="宋体" w:hAnsi="宋体" w:eastAsia="宋体"/>
                <w:sz w:val="18"/>
              </w:rPr>
              <w:t>满足从零训练</w:t>
            </w:r>
          </w:p>
        </w:tc>
      </w:tr>
    </w:tbl>
    <w:p>
      <w:pPr>
        <w:pStyle w:val="Heading2"/>
      </w:pPr>
      <w:r>
        <w:rPr>
          <w:rFonts w:ascii="宋体" w:hAnsi="宋体" w:eastAsia="宋体"/>
          <w:b/>
          <w:sz w:val="26"/>
        </w:rPr>
        <w:t>5.2 Dice Loss 实现与损失对比</w:t>
      </w:r>
    </w:p>
    <w:p>
      <w:pPr>
        <w:spacing w:line="300" w:lineRule="auto"/>
        <w:ind w:firstLine="420"/>
      </w:pPr>
      <w:r>
        <w:rPr>
          <w:rFonts w:ascii="宋体" w:hAnsi="宋体" w:eastAsia="宋体"/>
        </w:rPr>
        <w:t>本实验比较三种损失函数。Cross-Entropy 将每个像素视为独立多分类样本，训练稳定、梯度密集，是语义分割中常用的基础损失。Dice Loss 则从区域重叠角度出发，先对 logits 做 softmax，再构造 one-hot 标签，忽略未知像素后按类别计算 Dice 系数，最终使用 1-Dice 作为损失。CE+Dice 试图同时兼顾像素级分类和区域级重叠。</w:t>
      </w:r>
    </w:p>
    <w:p>
      <w:pPr>
        <w:spacing w:line="300" w:lineRule="auto"/>
        <w:ind w:firstLine="420"/>
      </w:pPr>
      <w:r>
        <w:rPr>
          <w:rFonts w:ascii="宋体" w:hAnsi="宋体" w:eastAsia="宋体"/>
        </w:rPr>
        <w:t>在 10 epoch 设置下，Cross-Entropy 的验证 mIoU 最高。原因可能有两点：第一，Stanford Background 的训练图像数量较少，Dice Loss 单独使用时早期优化不如 CE 稳定；第二，场景中 sky、tree、building 等大区域类别较多，CE 的像素级梯度更容易先学到全局类别分布。CE+Dice 的表现接近 CE，但没有超过 CE，说明在当前训练长度和模型规模下，组合损失还需要进一步调权或延长训练。</w:t>
      </w:r>
    </w:p>
    <w:p>
      <w:pPr>
        <w:jc w:val="center"/>
      </w:pPr>
      <w:r>
        <w:rPr>
          <w:rFonts w:ascii="宋体" w:hAnsi="宋体" w:eastAsia="宋体"/>
          <w:i/>
          <w:sz w:val="18"/>
        </w:rPr>
        <w:t>表10 U-Net 分割结果</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宋体" w:hAnsi="宋体" w:eastAsia="宋体"/>
                <w:sz w:val="18"/>
              </w:rPr>
              <w:t>损失配置</w:t>
            </w:r>
          </w:p>
        </w:tc>
        <w:tc>
          <w:tcPr>
            <w:tcW w:type="dxa" w:w="2351"/>
          </w:tcPr>
          <w:p>
            <w:pPr>
              <w:jc w:val="center"/>
            </w:pPr>
            <w:r>
              <w:rPr>
                <w:rFonts w:ascii="宋体" w:hAnsi="宋体" w:eastAsia="宋体"/>
                <w:sz w:val="18"/>
              </w:rPr>
              <w:t>最佳 Epoch</w:t>
            </w:r>
          </w:p>
        </w:tc>
        <w:tc>
          <w:tcPr>
            <w:tcW w:type="dxa" w:w="2351"/>
          </w:tcPr>
          <w:p>
            <w:pPr>
              <w:jc w:val="center"/>
            </w:pPr>
            <w:r>
              <w:rPr>
                <w:rFonts w:ascii="宋体" w:hAnsi="宋体" w:eastAsia="宋体"/>
                <w:sz w:val="18"/>
              </w:rPr>
              <w:t>Val Pixel Acc</w:t>
            </w:r>
          </w:p>
        </w:tc>
        <w:tc>
          <w:tcPr>
            <w:tcW w:type="dxa" w:w="2351"/>
          </w:tcPr>
          <w:p>
            <w:pPr>
              <w:jc w:val="center"/>
            </w:pPr>
            <w:r>
              <w:rPr>
                <w:rFonts w:ascii="宋体" w:hAnsi="宋体" w:eastAsia="宋体"/>
                <w:sz w:val="18"/>
              </w:rPr>
              <w:t>Val mIoU</w:t>
            </w:r>
          </w:p>
        </w:tc>
      </w:tr>
      <w:tr>
        <w:tc>
          <w:tcPr>
            <w:tcW w:type="dxa" w:w="2351"/>
          </w:tcPr>
          <w:p>
            <w:pPr>
              <w:jc w:val="center"/>
            </w:pPr>
            <w:r>
              <w:rPr>
                <w:rFonts w:ascii="宋体" w:hAnsi="宋体" w:eastAsia="宋体"/>
                <w:sz w:val="18"/>
              </w:rPr>
              <w:t>Cross-Entropy</w:t>
            </w:r>
          </w:p>
        </w:tc>
        <w:tc>
          <w:tcPr>
            <w:tcW w:type="dxa" w:w="2351"/>
          </w:tcPr>
          <w:p>
            <w:pPr>
              <w:jc w:val="center"/>
            </w:pPr>
            <w:r>
              <w:rPr>
                <w:rFonts w:ascii="宋体" w:hAnsi="宋体" w:eastAsia="宋体"/>
                <w:sz w:val="18"/>
              </w:rPr>
              <w:t>9</w:t>
            </w:r>
          </w:p>
        </w:tc>
        <w:tc>
          <w:tcPr>
            <w:tcW w:type="dxa" w:w="2351"/>
          </w:tcPr>
          <w:p>
            <w:pPr>
              <w:jc w:val="center"/>
            </w:pPr>
            <w:r>
              <w:rPr>
                <w:rFonts w:ascii="宋体" w:hAnsi="宋体" w:eastAsia="宋体"/>
                <w:sz w:val="18"/>
              </w:rPr>
              <w:t>0.7851</w:t>
            </w:r>
          </w:p>
        </w:tc>
        <w:tc>
          <w:tcPr>
            <w:tcW w:type="dxa" w:w="2351"/>
          </w:tcPr>
          <w:p>
            <w:pPr>
              <w:jc w:val="center"/>
            </w:pPr>
            <w:r>
              <w:rPr>
                <w:rFonts w:ascii="宋体" w:hAnsi="宋体" w:eastAsia="宋体"/>
                <w:sz w:val="18"/>
              </w:rPr>
              <w:t>0.5394</w:t>
            </w:r>
          </w:p>
        </w:tc>
      </w:tr>
      <w:tr>
        <w:tc>
          <w:tcPr>
            <w:tcW w:type="dxa" w:w="2351"/>
          </w:tcPr>
          <w:p>
            <w:pPr>
              <w:jc w:val="center"/>
            </w:pPr>
            <w:r>
              <w:rPr>
                <w:rFonts w:ascii="宋体" w:hAnsi="宋体" w:eastAsia="宋体"/>
                <w:sz w:val="18"/>
              </w:rPr>
              <w:t>Dice Loss</w:t>
            </w:r>
          </w:p>
        </w:tc>
        <w:tc>
          <w:tcPr>
            <w:tcW w:type="dxa" w:w="2351"/>
          </w:tcPr>
          <w:p>
            <w:pPr>
              <w:jc w:val="center"/>
            </w:pPr>
            <w:r>
              <w:rPr>
                <w:rFonts w:ascii="宋体" w:hAnsi="宋体" w:eastAsia="宋体"/>
                <w:sz w:val="18"/>
              </w:rPr>
              <w:t>9</w:t>
            </w:r>
          </w:p>
        </w:tc>
        <w:tc>
          <w:tcPr>
            <w:tcW w:type="dxa" w:w="2351"/>
          </w:tcPr>
          <w:p>
            <w:pPr>
              <w:jc w:val="center"/>
            </w:pPr>
            <w:r>
              <w:rPr>
                <w:rFonts w:ascii="宋体" w:hAnsi="宋体" w:eastAsia="宋体"/>
                <w:sz w:val="18"/>
              </w:rPr>
              <w:t>0.7484</w:t>
            </w:r>
          </w:p>
        </w:tc>
        <w:tc>
          <w:tcPr>
            <w:tcW w:type="dxa" w:w="2351"/>
          </w:tcPr>
          <w:p>
            <w:pPr>
              <w:jc w:val="center"/>
            </w:pPr>
            <w:r>
              <w:rPr>
                <w:rFonts w:ascii="宋体" w:hAnsi="宋体" w:eastAsia="宋体"/>
                <w:sz w:val="18"/>
              </w:rPr>
              <w:t>0.5033</w:t>
            </w:r>
          </w:p>
        </w:tc>
      </w:tr>
      <w:tr>
        <w:tc>
          <w:tcPr>
            <w:tcW w:type="dxa" w:w="2351"/>
          </w:tcPr>
          <w:p>
            <w:pPr>
              <w:jc w:val="center"/>
            </w:pPr>
            <w:r>
              <w:rPr>
                <w:rFonts w:ascii="宋体" w:hAnsi="宋体" w:eastAsia="宋体"/>
                <w:sz w:val="18"/>
              </w:rPr>
              <w:t>Cross-Entropy + Dice Loss</w:t>
            </w:r>
          </w:p>
        </w:tc>
        <w:tc>
          <w:tcPr>
            <w:tcW w:type="dxa" w:w="2351"/>
          </w:tcPr>
          <w:p>
            <w:pPr>
              <w:jc w:val="center"/>
            </w:pPr>
            <w:r>
              <w:rPr>
                <w:rFonts w:ascii="宋体" w:hAnsi="宋体" w:eastAsia="宋体"/>
                <w:sz w:val="18"/>
              </w:rPr>
              <w:t>9</w:t>
            </w:r>
          </w:p>
        </w:tc>
        <w:tc>
          <w:tcPr>
            <w:tcW w:type="dxa" w:w="2351"/>
          </w:tcPr>
          <w:p>
            <w:pPr>
              <w:jc w:val="center"/>
            </w:pPr>
            <w:r>
              <w:rPr>
                <w:rFonts w:ascii="宋体" w:hAnsi="宋体" w:eastAsia="宋体"/>
                <w:sz w:val="18"/>
              </w:rPr>
              <w:t>0.7775</w:t>
            </w:r>
          </w:p>
        </w:tc>
        <w:tc>
          <w:tcPr>
            <w:tcW w:type="dxa" w:w="2351"/>
          </w:tcPr>
          <w:p>
            <w:pPr>
              <w:jc w:val="center"/>
            </w:pPr>
            <w:r>
              <w:rPr>
                <w:rFonts w:ascii="宋体" w:hAnsi="宋体" w:eastAsia="宋体"/>
                <w:sz w:val="18"/>
              </w:rPr>
              <w:t>0.5308</w:t>
            </w:r>
          </w:p>
        </w:tc>
      </w:tr>
    </w:tbl>
    <w:p>
      <w:pPr>
        <w:jc w:val="center"/>
      </w:pPr>
      <w:r>
        <w:drawing>
          <wp:inline xmlns:a="http://schemas.openxmlformats.org/drawingml/2006/main" xmlns:pic="http://schemas.openxmlformats.org/drawingml/2006/picture">
            <wp:extent cx="5580000" cy="4097729"/>
            <wp:docPr id="10" name="Picture 10"/>
            <wp:cNvGraphicFramePr>
              <a:graphicFrameLocks noChangeAspect="1"/>
            </wp:cNvGraphicFramePr>
            <a:graphic>
              <a:graphicData uri="http://schemas.openxmlformats.org/drawingml/2006/picture">
                <pic:pic>
                  <pic:nvPicPr>
                    <pic:cNvPr id="0" name="task3_loss_grid.png"/>
                    <pic:cNvPicPr/>
                  </pic:nvPicPr>
                  <pic:blipFill>
                    <a:blip r:embed="rId18"/>
                    <a:stretch>
                      <a:fillRect/>
                    </a:stretch>
                  </pic:blipFill>
                  <pic:spPr>
                    <a:xfrm>
                      <a:off x="0" y="0"/>
                      <a:ext cx="5580000" cy="4097729"/>
                    </a:xfrm>
                    <a:prstGeom prst="rect"/>
                  </pic:spPr>
                </pic:pic>
              </a:graphicData>
            </a:graphic>
          </wp:inline>
        </w:drawing>
      </w:r>
    </w:p>
    <w:p>
      <w:pPr>
        <w:jc w:val="center"/>
      </w:pPr>
      <w:r>
        <w:rPr>
          <w:rFonts w:ascii="宋体" w:hAnsi="宋体" w:eastAsia="宋体"/>
          <w:i/>
          <w:sz w:val="18"/>
        </w:rPr>
        <w:t>图10 U-Net 三种损失配置 2×2 对比图</w:t>
      </w:r>
    </w:p>
    <w:p>
      <w:pPr>
        <w:jc w:val="center"/>
      </w:pPr>
      <w:r>
        <w:drawing>
          <wp:inline xmlns:a="http://schemas.openxmlformats.org/drawingml/2006/main" xmlns:pic="http://schemas.openxmlformats.org/drawingml/2006/picture">
            <wp:extent cx="5580000" cy="3138750"/>
            <wp:docPr id="11" name="Picture 11"/>
            <wp:cNvGraphicFramePr>
              <a:graphicFrameLocks noChangeAspect="1"/>
            </wp:cNvGraphicFramePr>
            <a:graphic>
              <a:graphicData uri="http://schemas.openxmlformats.org/drawingml/2006/picture">
                <pic:pic>
                  <pic:nvPicPr>
                    <pic:cNvPr id="0" name="task3_unet_ce.png"/>
                    <pic:cNvPicPr/>
                  </pic:nvPicPr>
                  <pic:blipFill>
                    <a:blip r:embed="rId19"/>
                    <a:stretch>
                      <a:fillRect/>
                    </a:stretch>
                  </pic:blipFill>
                  <pic:spPr>
                    <a:xfrm>
                      <a:off x="0" y="0"/>
                      <a:ext cx="5580000" cy="3138750"/>
                    </a:xfrm>
                    <a:prstGeom prst="rect"/>
                  </pic:spPr>
                </pic:pic>
              </a:graphicData>
            </a:graphic>
          </wp:inline>
        </w:drawing>
      </w:r>
    </w:p>
    <w:p>
      <w:pPr>
        <w:jc w:val="center"/>
      </w:pPr>
      <w:r>
        <w:rPr>
          <w:rFonts w:ascii="宋体" w:hAnsi="宋体" w:eastAsia="宋体"/>
          <w:i/>
          <w:sz w:val="18"/>
        </w:rPr>
        <w:t>图11 Cross-Entropy Loss 训练曲线</w:t>
      </w:r>
    </w:p>
    <w:p>
      <w:pPr>
        <w:jc w:val="center"/>
      </w:pPr>
      <w:r>
        <w:drawing>
          <wp:inline xmlns:a="http://schemas.openxmlformats.org/drawingml/2006/main" xmlns:pic="http://schemas.openxmlformats.org/drawingml/2006/picture">
            <wp:extent cx="5580000" cy="3138750"/>
            <wp:docPr id="12" name="Picture 12"/>
            <wp:cNvGraphicFramePr>
              <a:graphicFrameLocks noChangeAspect="1"/>
            </wp:cNvGraphicFramePr>
            <a:graphic>
              <a:graphicData uri="http://schemas.openxmlformats.org/drawingml/2006/picture">
                <pic:pic>
                  <pic:nvPicPr>
                    <pic:cNvPr id="0" name="task3_unet_dice.png"/>
                    <pic:cNvPicPr/>
                  </pic:nvPicPr>
                  <pic:blipFill>
                    <a:blip r:embed="rId20"/>
                    <a:stretch>
                      <a:fillRect/>
                    </a:stretch>
                  </pic:blipFill>
                  <pic:spPr>
                    <a:xfrm>
                      <a:off x="0" y="0"/>
                      <a:ext cx="5580000" cy="3138750"/>
                    </a:xfrm>
                    <a:prstGeom prst="rect"/>
                  </pic:spPr>
                </pic:pic>
              </a:graphicData>
            </a:graphic>
          </wp:inline>
        </w:drawing>
      </w:r>
    </w:p>
    <w:p>
      <w:pPr>
        <w:jc w:val="center"/>
      </w:pPr>
      <w:r>
        <w:rPr>
          <w:rFonts w:ascii="宋体" w:hAnsi="宋体" w:eastAsia="宋体"/>
          <w:i/>
          <w:sz w:val="18"/>
        </w:rPr>
        <w:t>图12 Dice Loss 训练曲线</w:t>
      </w:r>
    </w:p>
    <w:p>
      <w:pPr>
        <w:jc w:val="center"/>
      </w:pPr>
      <w:r>
        <w:drawing>
          <wp:inline xmlns:a="http://schemas.openxmlformats.org/drawingml/2006/main" xmlns:pic="http://schemas.openxmlformats.org/drawingml/2006/picture">
            <wp:extent cx="5580000" cy="3138750"/>
            <wp:docPr id="13" name="Picture 13"/>
            <wp:cNvGraphicFramePr>
              <a:graphicFrameLocks noChangeAspect="1"/>
            </wp:cNvGraphicFramePr>
            <a:graphic>
              <a:graphicData uri="http://schemas.openxmlformats.org/drawingml/2006/picture">
                <pic:pic>
                  <pic:nvPicPr>
                    <pic:cNvPr id="0" name="task3_unet_ce_dice.png"/>
                    <pic:cNvPicPr/>
                  </pic:nvPicPr>
                  <pic:blipFill>
                    <a:blip r:embed="rId21"/>
                    <a:stretch>
                      <a:fillRect/>
                    </a:stretch>
                  </pic:blipFill>
                  <pic:spPr>
                    <a:xfrm>
                      <a:off x="0" y="0"/>
                      <a:ext cx="5580000" cy="3138750"/>
                    </a:xfrm>
                    <a:prstGeom prst="rect"/>
                  </pic:spPr>
                </pic:pic>
              </a:graphicData>
            </a:graphic>
          </wp:inline>
        </w:drawing>
      </w:r>
    </w:p>
    <w:p>
      <w:pPr>
        <w:jc w:val="center"/>
      </w:pPr>
      <w:r>
        <w:rPr>
          <w:rFonts w:ascii="宋体" w:hAnsi="宋体" w:eastAsia="宋体"/>
          <w:i/>
          <w:sz w:val="18"/>
        </w:rPr>
        <w:t>图13 CE+Dice Loss 训练曲线</w:t>
      </w:r>
    </w:p>
    <w:p>
      <w:pPr>
        <w:spacing w:line="300" w:lineRule="auto"/>
        <w:ind w:firstLine="420"/>
      </w:pPr>
      <w:r>
        <w:rPr>
          <w:rFonts w:ascii="宋体" w:hAnsi="宋体" w:eastAsia="宋体"/>
        </w:rPr>
        <w:t>图10至图13显示，三种损失在训练后期均有提升，但收敛速度和稳定性不同。CE 曲线整体更平滑，验证 mIoU 也最高；Dice Loss 在区域重叠目标上更直接，但对类别分布和预测概率更敏感；CE+Dice 同时受到两种损失影响，验证性能介于二者之间。若继续训练到 50 epoch，可以观察 CE+Dice 是否在边界和小区域类别上逐渐超过单独 CE。</w:t>
      </w:r>
    </w:p>
    <w:p>
      <w:pPr>
        <w:pStyle w:val="Heading1"/>
      </w:pPr>
      <w:r>
        <w:rPr>
          <w:rFonts w:ascii="宋体" w:hAnsi="宋体" w:eastAsia="宋体"/>
          <w:b/>
          <w:sz w:val="32"/>
        </w:rPr>
        <w:t>六、综合讨论</w:t>
      </w:r>
    </w:p>
    <w:p>
      <w:pPr>
        <w:spacing w:line="300" w:lineRule="auto"/>
        <w:ind w:firstLine="420"/>
      </w:pPr>
      <w:r>
        <w:rPr>
          <w:rFonts w:ascii="宋体" w:hAnsi="宋体" w:eastAsia="宋体"/>
        </w:rPr>
        <w:t>三个任务共同说明，模型结构、训练策略和评价指标需要与空间智能问题的输出形式相匹配。分类任务只需输出图像类别，因此预训练特征和注意力模块是主要变量；检测跟踪任务需要同时关注位置和时间连续性，因此 mAP 之外还要分析 Tracking ID 稳定性；分割任务输出像素级标签，因此必须使用 mIoU 观察区域级质量，而不能只依赖 pixel accuracy。</w:t>
      </w:r>
    </w:p>
    <w:p>
      <w:pPr>
        <w:spacing w:line="300" w:lineRule="auto"/>
        <w:ind w:firstLine="420"/>
      </w:pPr>
      <w:r>
        <w:rPr>
          <w:rFonts w:ascii="宋体" w:hAnsi="宋体" w:eastAsia="宋体"/>
        </w:rPr>
        <w:t>从结果看，任务一效果最好，原因是 ImageNet 预训练提供了强先验，Flowers102 的视觉域也与自然图像接近。任务二 mAP 相对较低，主要受到类别粒度、目标尺度和训练轮数限制，但已经完成了从检测到跟踪计数的完整流程。任务三的 mIoU 处于可解释范围内，说明手写 U-Net 能学习到场景分割能力，但短轮次训练仍不足以充分处理细小区域和边界。</w:t>
      </w:r>
    </w:p>
    <w:p>
      <w:pPr>
        <w:spacing w:line="300" w:lineRule="auto"/>
        <w:ind w:firstLine="420"/>
      </w:pPr>
      <w:r>
        <w:rPr>
          <w:rFonts w:ascii="宋体" w:hAnsi="宋体" w:eastAsia="宋体"/>
        </w:rPr>
        <w:t>本报告保留了短轮次实验结果，是为了先形成完整、可检查的作业闭环。若继续优化，优先级可以按以下顺序展开：任务一训练到 30 epoch 并保存最优模型；任务二训练到 80 epoch 或更换更大 YOLOv8 模型，并使用真实道路视频；任务三使用 50 epoch 完整配置，并加入类别 IoU 表和预测可视化。这样可以在不改变代码结构的情况下进一步提高报告中的指标和分析深度。</w:t>
      </w:r>
    </w:p>
    <w:p>
      <w:pPr>
        <w:jc w:val="center"/>
      </w:pPr>
      <w:r>
        <w:rPr>
          <w:rFonts w:ascii="宋体" w:hAnsi="宋体" w:eastAsia="宋体"/>
          <w:i/>
          <w:sz w:val="18"/>
        </w:rPr>
        <w:t>表11 当前限制与改进方向</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宋体" w:hAnsi="宋体" w:eastAsia="宋体"/>
                <w:sz w:val="18"/>
              </w:rPr>
              <w:t>方向</w:t>
            </w:r>
          </w:p>
        </w:tc>
        <w:tc>
          <w:tcPr>
            <w:tcW w:type="dxa" w:w="3135"/>
          </w:tcPr>
          <w:p>
            <w:pPr>
              <w:jc w:val="center"/>
            </w:pPr>
            <w:r>
              <w:rPr>
                <w:rFonts w:ascii="宋体" w:hAnsi="宋体" w:eastAsia="宋体"/>
                <w:sz w:val="18"/>
              </w:rPr>
              <w:t>当前处理</w:t>
            </w:r>
          </w:p>
        </w:tc>
        <w:tc>
          <w:tcPr>
            <w:tcW w:type="dxa" w:w="3135"/>
          </w:tcPr>
          <w:p>
            <w:pPr>
              <w:jc w:val="center"/>
            </w:pPr>
            <w:r>
              <w:rPr>
                <w:rFonts w:ascii="宋体" w:hAnsi="宋体" w:eastAsia="宋体"/>
                <w:sz w:val="18"/>
              </w:rPr>
              <w:t>后续改进</w:t>
            </w:r>
          </w:p>
        </w:tc>
      </w:tr>
      <w:tr>
        <w:tc>
          <w:tcPr>
            <w:tcW w:type="dxa" w:w="3135"/>
          </w:tcPr>
          <w:p>
            <w:pPr>
              <w:jc w:val="center"/>
            </w:pPr>
            <w:r>
              <w:rPr>
                <w:rFonts w:ascii="宋体" w:hAnsi="宋体" w:eastAsia="宋体"/>
                <w:sz w:val="18"/>
              </w:rPr>
              <w:t>分类</w:t>
            </w:r>
          </w:p>
        </w:tc>
        <w:tc>
          <w:tcPr>
            <w:tcW w:type="dxa" w:w="3135"/>
          </w:tcPr>
          <w:p>
            <w:pPr>
              <w:jc w:val="center"/>
            </w:pPr>
            <w:r>
              <w:rPr>
                <w:rFonts w:ascii="宋体" w:hAnsi="宋体" w:eastAsia="宋体"/>
                <w:sz w:val="18"/>
              </w:rPr>
              <w:t>8 epoch 对比预训练、随机初始化、SE</w:t>
            </w:r>
          </w:p>
        </w:tc>
        <w:tc>
          <w:tcPr>
            <w:tcW w:type="dxa" w:w="3135"/>
          </w:tcPr>
          <w:p>
            <w:pPr>
              <w:jc w:val="center"/>
            </w:pPr>
            <w:r>
              <w:rPr>
                <w:rFonts w:ascii="宋体" w:hAnsi="宋体" w:eastAsia="宋体"/>
                <w:sz w:val="18"/>
              </w:rPr>
              <w:t>延长训练并尝试 ResNet-34</w:t>
            </w:r>
          </w:p>
        </w:tc>
      </w:tr>
      <w:tr>
        <w:tc>
          <w:tcPr>
            <w:tcW w:type="dxa" w:w="3135"/>
          </w:tcPr>
          <w:p>
            <w:pPr>
              <w:jc w:val="center"/>
            </w:pPr>
            <w:r>
              <w:rPr>
                <w:rFonts w:ascii="宋体" w:hAnsi="宋体" w:eastAsia="宋体"/>
                <w:sz w:val="18"/>
              </w:rPr>
              <w:t>检测</w:t>
            </w:r>
          </w:p>
        </w:tc>
        <w:tc>
          <w:tcPr>
            <w:tcW w:type="dxa" w:w="3135"/>
          </w:tcPr>
          <w:p>
            <w:pPr>
              <w:jc w:val="center"/>
            </w:pPr>
            <w:r>
              <w:rPr>
                <w:rFonts w:ascii="宋体" w:hAnsi="宋体" w:eastAsia="宋体"/>
                <w:sz w:val="18"/>
              </w:rPr>
              <w:t>YOLOv8n 20 epoch</w:t>
            </w:r>
          </w:p>
        </w:tc>
        <w:tc>
          <w:tcPr>
            <w:tcW w:type="dxa" w:w="3135"/>
          </w:tcPr>
          <w:p>
            <w:pPr>
              <w:jc w:val="center"/>
            </w:pPr>
            <w:r>
              <w:rPr>
                <w:rFonts w:ascii="宋体" w:hAnsi="宋体" w:eastAsia="宋体"/>
                <w:sz w:val="18"/>
              </w:rPr>
              <w:t>训练 80 epoch 或使用更大模型</w:t>
            </w:r>
          </w:p>
        </w:tc>
      </w:tr>
      <w:tr>
        <w:tc>
          <w:tcPr>
            <w:tcW w:type="dxa" w:w="3135"/>
          </w:tcPr>
          <w:p>
            <w:pPr>
              <w:jc w:val="center"/>
            </w:pPr>
            <w:r>
              <w:rPr>
                <w:rFonts w:ascii="宋体" w:hAnsi="宋体" w:eastAsia="宋体"/>
                <w:sz w:val="18"/>
              </w:rPr>
              <w:t>跟踪</w:t>
            </w:r>
          </w:p>
        </w:tc>
        <w:tc>
          <w:tcPr>
            <w:tcW w:type="dxa" w:w="3135"/>
          </w:tcPr>
          <w:p>
            <w:pPr>
              <w:jc w:val="center"/>
            </w:pPr>
            <w:r>
              <w:rPr>
                <w:rFonts w:ascii="宋体" w:hAnsi="宋体" w:eastAsia="宋体"/>
                <w:sz w:val="18"/>
              </w:rPr>
              <w:t>合成 12 秒演示视频</w:t>
            </w:r>
          </w:p>
        </w:tc>
        <w:tc>
          <w:tcPr>
            <w:tcW w:type="dxa" w:w="3135"/>
          </w:tcPr>
          <w:p>
            <w:pPr>
              <w:jc w:val="center"/>
            </w:pPr>
            <w:r>
              <w:rPr>
                <w:rFonts w:ascii="宋体" w:hAnsi="宋体" w:eastAsia="宋体"/>
                <w:sz w:val="18"/>
              </w:rPr>
              <w:t>替换为真实道路视频</w:t>
            </w:r>
          </w:p>
        </w:tc>
      </w:tr>
      <w:tr>
        <w:tc>
          <w:tcPr>
            <w:tcW w:type="dxa" w:w="3135"/>
          </w:tcPr>
          <w:p>
            <w:pPr>
              <w:jc w:val="center"/>
            </w:pPr>
            <w:r>
              <w:rPr>
                <w:rFonts w:ascii="宋体" w:hAnsi="宋体" w:eastAsia="宋体"/>
                <w:sz w:val="18"/>
              </w:rPr>
              <w:t>分割</w:t>
            </w:r>
          </w:p>
        </w:tc>
        <w:tc>
          <w:tcPr>
            <w:tcW w:type="dxa" w:w="3135"/>
          </w:tcPr>
          <w:p>
            <w:pPr>
              <w:jc w:val="center"/>
            </w:pPr>
            <w:r>
              <w:rPr>
                <w:rFonts w:ascii="宋体" w:hAnsi="宋体" w:eastAsia="宋体"/>
                <w:sz w:val="18"/>
              </w:rPr>
              <w:t>U-Net 10 epoch 三损失对比</w:t>
            </w:r>
          </w:p>
        </w:tc>
        <w:tc>
          <w:tcPr>
            <w:tcW w:type="dxa" w:w="3135"/>
          </w:tcPr>
          <w:p>
            <w:pPr>
              <w:jc w:val="center"/>
            </w:pPr>
            <w:r>
              <w:rPr>
                <w:rFonts w:ascii="宋体" w:hAnsi="宋体" w:eastAsia="宋体"/>
                <w:sz w:val="18"/>
              </w:rPr>
              <w:t>完整 50 epoch 并增加预测图</w:t>
            </w:r>
          </w:p>
        </w:tc>
      </w:tr>
      <w:tr>
        <w:tc>
          <w:tcPr>
            <w:tcW w:type="dxa" w:w="3135"/>
          </w:tcPr>
          <w:p>
            <w:pPr>
              <w:jc w:val="center"/>
            </w:pPr>
            <w:r>
              <w:rPr>
                <w:rFonts w:ascii="宋体" w:hAnsi="宋体" w:eastAsia="宋体"/>
                <w:sz w:val="18"/>
              </w:rPr>
              <w:t>报告</w:t>
            </w:r>
          </w:p>
        </w:tc>
        <w:tc>
          <w:tcPr>
            <w:tcW w:type="dxa" w:w="3135"/>
          </w:tcPr>
          <w:p>
            <w:pPr>
              <w:jc w:val="center"/>
            </w:pPr>
            <w:r>
              <w:rPr>
                <w:rFonts w:ascii="宋体" w:hAnsi="宋体" w:eastAsia="宋体"/>
                <w:sz w:val="18"/>
              </w:rPr>
              <w:t>Word 初稿可编辑</w:t>
            </w:r>
          </w:p>
        </w:tc>
        <w:tc>
          <w:tcPr>
            <w:tcW w:type="dxa" w:w="3135"/>
          </w:tcPr>
          <w:p>
            <w:pPr>
              <w:jc w:val="center"/>
            </w:pPr>
            <w:r>
              <w:rPr>
                <w:rFonts w:ascii="宋体" w:hAnsi="宋体" w:eastAsia="宋体"/>
                <w:sz w:val="18"/>
              </w:rPr>
              <w:t>补充小组信息并导出 PDF</w:t>
            </w:r>
          </w:p>
        </w:tc>
      </w:tr>
    </w:tbl>
    <w:p>
      <w:pPr>
        <w:pStyle w:val="Heading1"/>
      </w:pPr>
      <w:r>
        <w:rPr>
          <w:rFonts w:ascii="宋体" w:hAnsi="宋体" w:eastAsia="宋体"/>
          <w:b/>
          <w:sz w:val="32"/>
        </w:rPr>
        <w:t>七、复现说明</w:t>
      </w:r>
    </w:p>
    <w:p>
      <w:pPr>
        <w:spacing w:line="300" w:lineRule="auto"/>
        <w:ind w:firstLine="420"/>
      </w:pPr>
      <w:r>
        <w:rPr>
          <w:rFonts w:ascii="宋体" w:hAnsi="宋体" w:eastAsia="宋体"/>
        </w:rPr>
        <w:t>公开仓库中包含 `README.md`、`requirements.txt`、`configs/`、`src/`、`scripts/`、`reports/` 和 `outputs/`。复现时先安装依赖，再根据 README 中的命令分别运行三个任务。模型权重和跟踪演示视频不放入 Git 仓库，而是通过 Release 链接下载。报告中的精简结果日志位于 `outputs/logs/`，图表位于 `reports/figures/` 和 `outputs/figures/`。</w:t>
      </w:r>
    </w:p>
    <w:p>
      <w:pPr>
        <w:spacing w:line="300" w:lineRule="auto"/>
        <w:ind w:firstLine="420"/>
      </w:pPr>
      <w:r>
        <w:rPr>
          <w:rFonts w:ascii="宋体" w:hAnsi="宋体" w:eastAsia="宋体"/>
        </w:rPr>
        <w:t>若只检查报告结果，可直接查看 `reports/HW2_report_draft.docx`、`outputs/report/HW2_report_draft.docx` 和 `outputs/logs/`。若需要重新生成 Word 报告，可运行 `python -m src.common.make_docx_report --output reports/HW2_report_draft.docx`，再运行 `python scripts/collect_outputs.py` 同步到 `outputs/`。最终提交时建议在 Word 中填写小组成员、学号和分工，并手动导出 PDF。</w:t>
      </w:r>
    </w:p>
    <w:p>
      <w:pPr>
        <w:pStyle w:val="Heading1"/>
      </w:pPr>
      <w:r>
        <w:rPr>
          <w:rFonts w:ascii="宋体" w:hAnsi="宋体" w:eastAsia="宋体"/>
          <w:b/>
          <w:sz w:val="32"/>
        </w:rPr>
        <w:t>八、结论</w:t>
      </w:r>
    </w:p>
    <w:p>
      <w:pPr>
        <w:spacing w:line="300" w:lineRule="auto"/>
        <w:ind w:firstLine="420"/>
      </w:pPr>
      <w:r>
        <w:rPr>
          <w:rFonts w:ascii="宋体" w:hAnsi="宋体" w:eastAsia="宋体"/>
        </w:rPr>
        <w:t>本次 HW2 完成了分类、检测跟踪和语义分割三条实验线。Flowers102 实验表明，ImageNet 预训练和合适的学习率是细粒度分类的关键，SE 注意力带来小幅增益；Road Vehicle 实验完成了 YOLOv8 微调、验证集评估、Tracking ID 输出、遮挡片段分析和越线计数；Stanford Background 实验从零实现 U-Net，并验证了 CE、Dice 和 CE+Dice 三种损失的差异。</w:t>
      </w:r>
    </w:p>
    <w:p>
      <w:pPr>
        <w:spacing w:line="300" w:lineRule="auto"/>
        <w:ind w:firstLine="420"/>
      </w:pPr>
      <w:r>
        <w:rPr>
          <w:rFonts w:ascii="宋体" w:hAnsi="宋体" w:eastAsia="宋体"/>
        </w:rPr>
        <w:t>从作业目标看，当前代码已经覆盖模型结构、数据处理、训练设置、结果日志、可视化、公开仓库和权重链接。报告仍保留可编辑状态，便于继续加入更长训练结果、wandb 或 swanlab 截图、真实视频分析和最终小组信息。整体上，本实验展示了从图像级理解到目标级时序分析，再到像素级语义理解的完整空间智能建模流程。</w:t>
      </w:r>
    </w:p>
    <w:sectPr w:rsidR="00FC693F" w:rsidRPr="0006063C" w:rsidSect="00034616">
      <w:pgSz w:w="12240" w:h="15840"/>
      <w:pgMar w:top="1304"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