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성장전략(Scale-up)_사업화 추진 전략</w:t>
      </w:r>
    </w:p>
    <w:p/>
    <w:p>
      <w:pPr>
        <w:pStyle w:val="Heading1"/>
      </w:pPr>
      <w:r>
        <w:rPr>
          <w:rFonts w:ascii="맑은 고딕" w:hAnsi="맑은 고딕" w:eastAsia="맑은 고딕"/>
        </w:rPr>
        <w:t>1. 목표시장 분석</w:t>
      </w:r>
    </w:p>
    <w:p>
      <w:pPr>
        <w:pStyle w:val="Heading2"/>
      </w:pPr>
      <w:r>
        <w:rPr>
          <w:rFonts w:ascii="맑은 고딕" w:hAnsi="맑은 고딕" w:eastAsia="맑은 고딕"/>
        </w:rPr>
        <w:t>1-1. 시장 규모 (TAM-SAM-SOM)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TAM(전체시장), SAM(유효시장), SOM(수익시장)을 단계별로 분석하여 현실적인 목표 시장을 설정함.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268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정의</w:t>
            </w:r>
          </w:p>
        </w:tc>
        <w:tc>
          <w:tcPr>
            <w:tcW w:type="dxa" w:w="1701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규모</w:t>
            </w:r>
          </w:p>
        </w:tc>
        <w:tc>
          <w:tcPr>
            <w:tcW w:type="dxa" w:w="2835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산출 근거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TAM</w:t>
              <w:br/>
              <w:t>(전체시장)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글로벌 CDSS + 전통의학 시장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약 100조원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CDSS 80억$ + 전통의학 3,500억$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SAM</w:t>
              <w:br/>
              <w:t>(유효시장)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국내 한의원 시장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약 1,400억원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한의원 14,000개소 × 연 1,000만원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SOM</w:t>
              <w:br/>
              <w:t>(수익시장)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초기 목표 시장 (수도권)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약 60억원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500개소 × 월 10만원 × 12개월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2"/>
        </w:rPr>
        <w:t xml:space="preserve">초기 3년간 </w:t>
      </w:r>
      <w:r>
        <w:rPr>
          <w:rFonts w:ascii="맑은 고딕" w:hAnsi="맑은 고딕" w:eastAsia="맑은 고딕"/>
          <w:b/>
          <w:sz w:val="22"/>
        </w:rPr>
        <w:t>SOM 60억원 시장의 10% 점유(연 6억원 매출)</w:t>
      </w:r>
      <w:r>
        <w:rPr>
          <w:rFonts w:ascii="맑은 고딕" w:hAnsi="맑은 고딕" w:eastAsia="맑은 고딕"/>
          <w:b w:val="0"/>
          <w:sz w:val="22"/>
        </w:rPr>
        <w:t>를 목표로 함.</w:t>
      </w:r>
    </w:p>
    <w:p/>
    <w:p>
      <w:pPr>
        <w:pStyle w:val="Heading2"/>
      </w:pPr>
      <w:r>
        <w:rPr>
          <w:rFonts w:ascii="맑은 고딕" w:hAnsi="맑은 고딕" w:eastAsia="맑은 고딕"/>
        </w:rPr>
        <w:t>1-2. 목표 고객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701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특징</w:t>
            </w:r>
          </w:p>
        </w:tc>
        <w:tc>
          <w:tcPr>
            <w:tcW w:type="dxa" w:w="2835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니즈</w:t>
            </w:r>
          </w:p>
        </w:tc>
        <w:tc>
          <w:tcPr>
            <w:tcW w:type="dxa" w:w="1984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규모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1차 타겟</w:t>
              <w:br/>
              <w:t>(신규 한의사)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경력 5년 미만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임상 경험 부족 보완, 처방 자신감 필요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20"/>
              </w:rPr>
              <w:t>약 5,000명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2차 타겟</w:t>
              <w:br/>
              <w:t>(개원 한의사)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1인 한의원 운영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진료 효율화, 경쟁력 강화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20"/>
              </w:rPr>
              <w:t>약 10,000개소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3차 타겟</w:t>
              <w:br/>
              <w:t>(한방병원)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다수 한의사 근무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진료 표준화, 교육 도구 필요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20"/>
              </w:rPr>
              <w:t>약 300개소</w:t>
            </w:r>
          </w:p>
        </w:tc>
      </w:tr>
    </w:tbl>
    <w:p/>
    <w:p/>
    <w:p>
      <w:pPr>
        <w:pStyle w:val="Heading1"/>
      </w:pPr>
      <w:r>
        <w:rPr>
          <w:rFonts w:ascii="맑은 고딕" w:hAnsi="맑은 고딕" w:eastAsia="맑은 고딕"/>
        </w:rPr>
        <w:t>2. 비즈니스 모델</w:t>
      </w:r>
    </w:p>
    <w:p>
      <w:pPr>
        <w:pStyle w:val="Heading2"/>
      </w:pPr>
      <w:r>
        <w:rPr>
          <w:rFonts w:ascii="맑은 고딕" w:hAnsi="맑은 고딕" w:eastAsia="맑은 고딕"/>
        </w:rPr>
        <w:t>2-1. 수익 모델: B2B SaaS 구독</w:t>
      </w:r>
    </w:p>
    <w:p>
      <w:r>
        <w:rPr>
          <w:rFonts w:ascii="맑은 고딕" w:hAnsi="맑은 고딕" w:eastAsia="맑은 고딕"/>
          <w:b w:val="0"/>
          <w:sz w:val="22"/>
        </w:rPr>
        <w:t xml:space="preserve">본 서비스는 </w:t>
      </w:r>
      <w:r>
        <w:rPr>
          <w:rFonts w:ascii="맑은 고딕" w:hAnsi="맑은 고딕" w:eastAsia="맑은 고딕"/>
          <w:b/>
          <w:sz w:val="22"/>
        </w:rPr>
        <w:t>B2B SaaS(기업 대상 구독형 소프트웨어) 모델</w:t>
      </w:r>
      <w:r>
        <w:rPr>
          <w:rFonts w:ascii="맑은 고딕" w:hAnsi="맑은 고딕" w:eastAsia="맑은 고딕"/>
          <w:b w:val="0"/>
          <w:sz w:val="22"/>
        </w:rPr>
        <w:t>로 운영함. 한의원이 월 정액을 내고 서비스를 이용하는 방식임.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요금제</w:t>
            </w:r>
          </w:p>
        </w:tc>
        <w:tc>
          <w:tcPr>
            <w:tcW w:type="dxa" w:w="1417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월 요금</w:t>
            </w:r>
          </w:p>
        </w:tc>
        <w:tc>
          <w:tcPr>
            <w:tcW w:type="dxa" w:w="2835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주요 기능</w:t>
            </w:r>
          </w:p>
        </w:tc>
        <w:tc>
          <w:tcPr>
            <w:tcW w:type="dxa" w:w="2268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타겟 고객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99,000원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기본 검색 + 월 100건 AI 분석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신규 한의사, 소규모 한의원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Professional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199,000원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무제한 AI 분석 + EMR 연동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중견 한의원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Enterprise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별도 협의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전용 서버 + 맞춤 개발 + 다지점 지원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한방병원, 프랜차이즈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i/>
          <w:sz w:val="18"/>
        </w:rPr>
        <w:t>[그림 1] 온고지신 AI 서비스 메인 화면</w:t>
      </w:r>
    </w:p>
    <w:p>
      <w:pPr>
        <w:pStyle w:val="Heading2"/>
      </w:pPr>
      <w:r>
        <w:rPr>
          <w:rFonts w:ascii="맑은 고딕" w:hAnsi="맑은 고딕" w:eastAsia="맑은 고딕"/>
        </w:rPr>
        <w:t>2-2. 단위 경제학 (Unit Economics)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고객 1명당 수익성을 분석한 결과, 건전한 비즈니스 구조를 갖추고 있음.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지표</w:t>
            </w:r>
          </w:p>
        </w:tc>
        <w:tc>
          <w:tcPr>
            <w:tcW w:type="dxa" w:w="1417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수치</w:t>
            </w:r>
          </w:p>
        </w:tc>
        <w:tc>
          <w:tcPr>
            <w:tcW w:type="dxa" w:w="4535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20"/>
              </w:rPr>
              <w:t>CAC (고객획득비용)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50만원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마케팅, 영업 비용을 신규 고객 수로 나눈 값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20"/>
              </w:rPr>
              <w:t>LTV (고객생애가치)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480만원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월 10만원 × 48개월 (평균 이용 기간)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20"/>
              </w:rPr>
              <w:t>LTV/CAC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9.6배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3배 이상이면 건전한 구조 (업계 기준)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20"/>
              </w:rPr>
              <w:t>BEP (손익분기점)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200개소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월 고정비용 대비 필요 고객 수</w:t>
            </w:r>
          </w:p>
        </w:tc>
      </w:tr>
    </w:tbl>
    <w:p/>
    <w:p/>
    <w:p>
      <w:pPr>
        <w:pStyle w:val="Heading1"/>
      </w:pPr>
      <w:r>
        <w:rPr>
          <w:rFonts w:ascii="맑은 고딕" w:hAnsi="맑은 고딕" w:eastAsia="맑은 고딕"/>
        </w:rPr>
        <w:t>3. 마케팅 및 영업 전략</w:t>
      </w:r>
    </w:p>
    <w:p>
      <w:pPr>
        <w:pStyle w:val="Heading2"/>
      </w:pPr>
      <w:r>
        <w:rPr>
          <w:rFonts w:ascii="맑은 고딕" w:hAnsi="맑은 고딕" w:eastAsia="맑은 고딕"/>
        </w:rPr>
        <w:t>3-1. 고객 획득 전략 (GTM 전략)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GTM(Go-To-Market)은 제품을 시장에 출시하고 고객을 확보하는 전략을 말함.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1701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전략</w:t>
            </w:r>
          </w:p>
        </w:tc>
        <w:tc>
          <w:tcPr>
            <w:tcW w:type="dxa" w:w="3402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세부 내용</w:t>
            </w:r>
          </w:p>
        </w:tc>
        <w:tc>
          <w:tcPr>
            <w:tcW w:type="dxa" w:w="1701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목표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1단계</w:t>
              <w:br/>
              <w:t>(인지)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콘텐츠 마케팅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20"/>
              </w:rPr>
              <w:t>한의학 관련 블로그, 유튜브 운영</w:t>
              <w:br/>
              <w:t>AI 활용 사례 공유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월 방문자 1만 명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2단계</w:t>
              <w:br/>
              <w:t>(관심)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무료 체험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20"/>
              </w:rPr>
              <w:t>14일 무료 체험 제공</w:t>
              <w:br/>
              <w:t>핵심 기능 경험 유도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전환율 20%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3단계</w:t>
              <w:br/>
              <w:t>(전환)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학회/세미나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20"/>
              </w:rPr>
              <w:t>대한한의사협회 세미나 참여</w:t>
              <w:br/>
              <w:t>한의과대학 특강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월 50건 문의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4단계</w:t>
              <w:br/>
              <w:t>(유지)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고객 성공팀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20"/>
              </w:rPr>
              <w:t>전담 CS 배치</w:t>
              <w:br/>
              <w:t>정기 사용 리포트 제공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이탈률 5% 미만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/>
        </w:rPr>
        <w:t>3-2. 채널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채널</w:t>
            </w:r>
          </w:p>
        </w:tc>
        <w:tc>
          <w:tcPr>
            <w:tcW w:type="dxa" w:w="3118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방법</w:t>
            </w:r>
          </w:p>
        </w:tc>
        <w:tc>
          <w:tcPr>
            <w:tcW w:type="dxa" w:w="2835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예상 효과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20"/>
              </w:rPr>
              <w:t>온라인 직접 판매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자사 웹사이트를 통한 가입/결제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마진율 높음, 고객 데이터 확보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20"/>
              </w:rPr>
              <w:t>EMR 연동 파트너십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한의타임, 오아시스 등 EMR 업체와 제휴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기존 고객 대상 접근 용이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20"/>
              </w:rPr>
              <w:t>학회/협회 채널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대한한의사협회, 각종 학회 공식 추천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신뢰도 확보, 대량 도입 가능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20"/>
              </w:rPr>
              <w:t>한의과대학 채널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학생 대상 무료 제공 → 졸업 후 유료 전환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장기 고객 확보</w:t>
            </w:r>
          </w:p>
        </w:tc>
      </w:tr>
    </w:tbl>
    <w:p/>
    <w:p/>
    <w:p>
      <w:pPr>
        <w:pStyle w:val="Heading1"/>
      </w:pPr>
      <w:r>
        <w:rPr>
          <w:rFonts w:ascii="맑은 고딕" w:hAnsi="맑은 고딕" w:eastAsia="맑은 고딕"/>
        </w:rPr>
        <w:t>4. 성장 로드맵</w:t>
      </w:r>
    </w:p>
    <w:p>
      <w:pPr>
        <w:pStyle w:val="Heading2"/>
      </w:pPr>
      <w:r>
        <w:rPr>
          <w:rFonts w:ascii="맑은 고딕" w:hAnsi="맑은 고딕" w:eastAsia="맑은 고딕"/>
        </w:rPr>
        <w:t>4-1. 연도별 성장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연도</w:t>
            </w:r>
          </w:p>
        </w:tc>
        <w:tc>
          <w:tcPr>
            <w:tcW w:type="dxa" w:w="1417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고객 수</w:t>
            </w:r>
          </w:p>
        </w:tc>
        <w:tc>
          <w:tcPr>
            <w:tcW w:type="dxa" w:w="1417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매출</w:t>
            </w:r>
          </w:p>
        </w:tc>
        <w:tc>
          <w:tcPr>
            <w:tcW w:type="dxa" w:w="3969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주요 마일스톤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2026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100개소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1.2억원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  <w:t>MVP 고도화, 정식 출시, EMR 연동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2027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500개소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6억원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  <w:t>모바일 앱, 한방병원 진입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2028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1,500개소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18억원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  <w:t>시장 점유율 10%, 시리즈A 투자 유치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2029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3,000개소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36억원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  <w:t>해외 시장 진출 (일본, 중국)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ified_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i/>
          <w:sz w:val="18"/>
        </w:rPr>
        <w:t>[그림 2] 치험례 통합 검색 화면 (핵심 경쟁력)</w:t>
      </w:r>
    </w:p>
    <w:p>
      <w:pPr>
        <w:pStyle w:val="Heading2"/>
      </w:pPr>
      <w:r>
        <w:rPr>
          <w:rFonts w:ascii="맑은 고딕" w:hAnsi="맑은 고딕" w:eastAsia="맑은 고딕"/>
        </w:rPr>
        <w:t>4-2. 확장 전략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단계 1: 수직 확장 (한의학 내 깊이 확대)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학파별 전문 모듈 추가 (사상의학, 동의보감 등)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침구 처방 추천 기능 확장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한약재 재고 관리 연동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단계 2: 수평 확장 (인접 시장 진출)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한의과대학 교육용 플랫폼 제공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일반인 대상 건강 상담 서비스 (B2C)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제약회사 대상 한약재 데이터 분석 서비스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단계 3: 글로벌 확장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일본 시장: 캄포(漢方) 의학 시장 진출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중국 시장: 중의학 CDSS 현지화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동남아 시장: 전통의학 수요 증가 지역 공략</w:t>
      </w:r>
    </w:p>
    <w:p/>
    <w:p>
      <w:pPr>
        <w:pStyle w:val="Heading1"/>
      </w:pPr>
      <w:r>
        <w:rPr>
          <w:rFonts w:ascii="맑은 고딕" w:hAnsi="맑은 고딕" w:eastAsia="맑은 고딕"/>
        </w:rPr>
        <w:t>5. 리스크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리스크</w:t>
            </w:r>
          </w:p>
        </w:tc>
        <w:tc>
          <w:tcPr>
            <w:tcW w:type="dxa" w:w="1701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발생 가능성</w:t>
            </w:r>
          </w:p>
        </w:tc>
        <w:tc>
          <w:tcPr>
            <w:tcW w:type="dxa" w:w="4535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대응 전략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경쟁사 출현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선점 효과 극대화, 데이터 우위 유지, 특허 출원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고객 이탈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낮음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고객 성공팀 운영, 지속적 기능 업데이트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기술 변화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AI 모델 다변화 (Claude, GPT 등 복수 지원)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규제 리스크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낮음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의료기기 인허가 사전 검토, 법률 자문 확보</w:t>
            </w:r>
          </w:p>
        </w:tc>
      </w:tr>
    </w:tbl>
    <w:p/>
    <w:p/>
    <w:p>
      <w:pPr>
        <w:pStyle w:val="Heading1"/>
      </w:pPr>
      <w:r>
        <w:rPr>
          <w:rFonts w:ascii="맑은 고딕" w:hAnsi="맑은 고딕" w:eastAsia="맑은 고딕"/>
        </w:rPr>
        <w:t>6. 투자 유치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1701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시기</w:t>
            </w:r>
          </w:p>
        </w:tc>
        <w:tc>
          <w:tcPr>
            <w:tcW w:type="dxa" w:w="1701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목표 금액</w:t>
            </w:r>
          </w:p>
        </w:tc>
        <w:tc>
          <w:tcPr>
            <w:tcW w:type="dxa" w:w="3118"/>
            <w:shd w:fill="E3F2F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용도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Seed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2026 상반기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2억원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MVP 고도화, 초기 마케팅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Pre-A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2026 하반기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5억원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EMR 연동, 팀 확장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Series A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2028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20억원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시장 확대, 해외 진출 준비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2"/>
        </w:rPr>
        <w:t xml:space="preserve">초기창업패키지 선정 시, </w:t>
      </w:r>
      <w:r>
        <w:rPr>
          <w:rFonts w:ascii="맑은 고딕" w:hAnsi="맑은 고딕" w:eastAsia="맑은 고딕"/>
          <w:b/>
          <w:sz w:val="22"/>
        </w:rPr>
        <w:t>정부 지원금을 Seed 투자금으로 활용</w:t>
      </w:r>
      <w:r>
        <w:rPr>
          <w:rFonts w:ascii="맑은 고딕" w:hAnsi="맑은 고딕" w:eastAsia="맑은 고딕"/>
          <w:b w:val="0"/>
          <w:sz w:val="22"/>
        </w:rPr>
        <w:t>하여 제품 완성도를 높이고, 이를 기반으로 후속 투자를 유치할 계획임.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