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Notas KPIs - HBR</w:t>
      </w:r>
    </w:p>
    <w:p>
      <w:r>
        <w:t>To fully appreciate how one KPI affects another it’s necessary to map the relationship between KPIs themselves.</w:t>
        <w:br/>
      </w:r>
    </w:p>
    <w:p>
      <w:r>
        <w:t>This requires nothing more than a whiteboard or flipchart and a pen. We started by nominating the end goal on the right-hand side. The goal was for the holding company to invest funds in its grinding subsidiary. Working from right to left, we looked at what would create this outcome. It was driven by three KPIs – profit, return on capital employed and net cashflow.</w:t>
        <w:br/>
      </w:r>
    </w:p>
    <w:p>
      <w:r>
        <w:t>This requires nothing more than a whiteboard or flipchart and a pen. We started by nominating the end goal on the right-hand side. The goal was for the holding company to invest funds in its grinding subsidiary. Working from right to left, we looked at what would create this outcome. It was driven by three KPIs – profit, return on capital employed and net cashflow. These in turn were driven by the previously mentioned metrics outlining what the company wanted from its customers – revenue, gross margin, and market share. These were driven by the KPIs for what customers wanted from the company (product quality and customer service), which in turn were driven by KPIs for suppliers and employees. On completion this cause-and-effect diagram, shown in the graphic below, clearly demonstrated how causes to the left of the diagram produced effects to the right.</w:t>
        <w:br/>
      </w:r>
    </w:p>
    <w:p>
      <w:r>
        <w:t>Setting Measurement Intervals</w:t>
        <w:br/>
      </w:r>
    </w:p>
    <w:p>
      <w:r>
        <w:t>A measurement interval is the time between readings on a KPI.</w:t>
        <w:br/>
      </w:r>
    </w:p>
    <w:p>
      <w:r>
        <w:t>Predicting Your Corporate Future Many executive teams see producing a scorecard of KPIs as a dry, dull exercise. Viewed as generating a “bunch of numbers” it most surely is. What they don’t appreciate are the dynamics which exist within any set of KPIs. You expose this by firstly identifying your business’s key stakeholders and then by tracking how one group impacts another. By going deeper and combining the cause-and-effect between KPIs with measurement intervals, you have a golden opportunity to put your finger on the pulse of your organization’s performance. Your scorecard thus becomes a dynamic representation of how your business will prosper.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