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7F" w:rsidRPr="0012217F" w:rsidRDefault="008336C6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Estimado</w:t>
      </w:r>
      <w:r w:rsidR="0012217F"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 xml:space="preserve"> Sr. Tenecela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Abajo el examen.  Debe entregarlo el 4 de septiembre hasta las 4 pm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Saludos,</w:t>
      </w:r>
    </w:p>
    <w:p w:rsidR="0012217F" w:rsidRPr="0012217F" w:rsidRDefault="008336C6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Mónica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Usted debe de hacer un “cotizador de seguros en línea” para la empresa </w:t>
      </w:r>
      <w:proofErr w:type="spellStart"/>
      <w:r w:rsidRPr="0012217F">
        <w:rPr>
          <w:rFonts w:ascii="Calibri" w:eastAsia="Times New Roman" w:hAnsi="Calibri" w:cs="Calibri"/>
          <w:color w:val="000000"/>
          <w:lang w:eastAsia="es-EC"/>
        </w:rPr>
        <w:t>Saludcita</w:t>
      </w:r>
      <w:proofErr w:type="spellEnd"/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S.A. Esta empresa vende seguros de salud que incluye atención médica dentro del Ecuador.   El cotizador debe permitir el ingreso de información de los potenciales clientes y calcular el valor total del seguro mensual que se debe pagar a partir de ciertas características del potencial asegurado; tales como: 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Ciudad donde reside: Guayaquil, Quito, Cuenca, Machala. En el resto de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las ciudades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no opera </w:t>
      </w:r>
      <w:proofErr w:type="spellStart"/>
      <w:r w:rsidRPr="0012217F">
        <w:rPr>
          <w:rFonts w:ascii="Calibri" w:eastAsia="Times New Roman" w:hAnsi="Calibri" w:cs="Calibri"/>
          <w:color w:val="000000"/>
          <w:lang w:eastAsia="es-EC"/>
        </w:rPr>
        <w:t>Saludcita</w:t>
      </w:r>
      <w:proofErr w:type="spellEnd"/>
      <w:r w:rsidRPr="0012217F">
        <w:rPr>
          <w:rFonts w:ascii="Calibri" w:eastAsia="Times New Roman" w:hAnsi="Calibri" w:cs="Calibri"/>
          <w:color w:val="000000"/>
          <w:lang w:eastAsia="es-EC"/>
        </w:rPr>
        <w:t>.</w:t>
      </w:r>
    </w:p>
    <w:p w:rsidR="0012217F" w:rsidRPr="0012217F" w:rsidRDefault="00846621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Edad del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asegurado: mayores de edad hasta los 75 años. 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sexo del asegurado:  Hombre, Mujer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estado civil: casado, soltero, divorciado, viudo</w:t>
      </w:r>
    </w:p>
    <w:p w:rsidR="0012217F" w:rsidRPr="0012217F" w:rsidRDefault="00846621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y casos especiales: Osteoporosis, Infarto, diabetes, cáncer</w:t>
      </w:r>
    </w:p>
    <w:p w:rsid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El pago mensual de la póliza de salud varía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de acuerdo con el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número de dependientes que tiene el asegurado. El máximo número de dependientes es 4 familiares, pero en caso de tener más dependientes, el aplicante debe hacer una solicitud para que esta sea anali</w:t>
      </w:r>
      <w:r>
        <w:rPr>
          <w:rFonts w:ascii="Calibri" w:eastAsia="Times New Roman" w:hAnsi="Calibri" w:cs="Calibri"/>
          <w:color w:val="000000"/>
          <w:lang w:eastAsia="es-EC"/>
        </w:rPr>
        <w:t>zada y cotizada.</w:t>
      </w:r>
    </w:p>
    <w:p w:rsidR="0012217F" w:rsidRDefault="0012217F" w:rsidP="0012217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En ningún caso se aceptarán más de 9 dependientes. La Tabla de abajo muestra la cuota mensual básica (sin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ni casos especiales) según el número de dependientes.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1655"/>
      </w:tblGrid>
      <w:tr w:rsidR="0012217F" w:rsidRPr="0012217F" w:rsidTr="0012217F">
        <w:trPr>
          <w:trHeight w:val="32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b/>
                <w:bCs/>
                <w:lang w:eastAsia="es-EC"/>
              </w:rPr>
              <w:t>Dependientes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b/>
                <w:bCs/>
                <w:lang w:eastAsia="es-EC"/>
              </w:rPr>
              <w:t>Cuota básica ($)</w:t>
            </w:r>
          </w:p>
        </w:tc>
      </w:tr>
      <w:tr w:rsidR="0012217F" w:rsidRPr="0012217F" w:rsidTr="0012217F">
        <w:trPr>
          <w:trHeight w:val="2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0 (soltero)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30 </w:t>
            </w:r>
          </w:p>
        </w:tc>
      </w:tr>
      <w:tr w:rsidR="0012217F" w:rsidRPr="0012217F" w:rsidTr="0012217F">
        <w:trPr>
          <w:trHeight w:val="18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1 (Cónyuge o hijo) 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60</w:t>
            </w:r>
          </w:p>
        </w:tc>
      </w:tr>
      <w:tr w:rsidR="0012217F" w:rsidRPr="0012217F" w:rsidTr="0012217F">
        <w:trPr>
          <w:trHeight w:val="1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2 (Cónyuge y 1 hijo, o 2 hijos) 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90</w:t>
            </w:r>
          </w:p>
        </w:tc>
      </w:tr>
      <w:tr w:rsidR="0012217F" w:rsidRPr="0012217F" w:rsidTr="0012217F">
        <w:trPr>
          <w:trHeight w:val="30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3 (Cónyuge y 2 hijos, o 3 hijos)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100</w:t>
            </w:r>
          </w:p>
        </w:tc>
      </w:tr>
      <w:tr w:rsidR="0012217F" w:rsidRPr="0012217F" w:rsidTr="0012217F">
        <w:trPr>
          <w:trHeight w:val="2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4 (Cónyuge y 3 hijos, o 4 hijos)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120</w:t>
            </w:r>
          </w:p>
        </w:tc>
      </w:tr>
    </w:tbl>
    <w:p w:rsidR="008336C6" w:rsidRDefault="008336C6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Para obtener la cuota</w:t>
      </w: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del seguro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, se deben considerar las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de enfermedades o casos especiales; las cuales representan valores adicionales que deben añadirse a la cuota básica, tal como se detalla a continuación: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mujer en edad fértil (18 a 40 años) y está casada, se debe añadir $20 a la cuota mensual; si es soltera, divorciada o viuda se debe añadir $10. 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Si el asegurado es un hombre soltero entre los 18 a 40 años, se aumenta $40 por riesgo de accidentes.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mujer, con más de 40 años, pero no más de 60 años, se aumenta $35 si sufre de osteoporosis. 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Si el asegurado es un hombre, con más de 40 años, pero no más de 60 años, se aumenta $50 si ha sufrido un infarto.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persona con más de 60 años y padece de diabetes o cáncer, si es mujer aumentan $60 y si es hombre $50. </w:t>
      </w:r>
    </w:p>
    <w:p w:rsid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lastRenderedPageBreak/>
        <w:t>Si el asegurado tiene más de 4 dependientes, el caso es analizado por un ejecutivo de riesgos de salud.</w:t>
      </w:r>
    </w:p>
    <w:p w:rsidR="002040F2" w:rsidRDefault="002040F2" w:rsidP="008E5DFB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valor total del seguro se calcula sumando la cuota básica con los valores adicionales.</w:t>
      </w:r>
    </w:p>
    <w:p w:rsidR="002040F2" w:rsidRPr="002040F2" w:rsidRDefault="002040F2" w:rsidP="002040F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570"/>
        <w:gridCol w:w="812"/>
        <w:gridCol w:w="572"/>
        <w:gridCol w:w="1078"/>
        <w:gridCol w:w="1491"/>
        <w:gridCol w:w="1257"/>
        <w:gridCol w:w="1073"/>
      </w:tblGrid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Nº</w:t>
            </w:r>
            <w:proofErr w:type="spellEnd"/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Caso</w:t>
            </w:r>
          </w:p>
        </w:tc>
        <w:tc>
          <w:tcPr>
            <w:tcW w:w="812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Edad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Sexo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Estado Civil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Preexistencias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Dependientes</w:t>
            </w: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Adicional Seguro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Pr="008336C6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812" w:type="dxa"/>
            <w:vAlign w:val="center"/>
          </w:tcPr>
          <w:p w:rsidR="00EE18AB" w:rsidRPr="008336C6" w:rsidRDefault="00CB349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Casada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$20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2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A2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Soltera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A3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Viuda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A4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Divorciada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B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Soltero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$40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41-59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Osteoporosis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$35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41-59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Infarto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8</w:t>
            </w:r>
          </w:p>
        </w:tc>
        <w:tc>
          <w:tcPr>
            <w:tcW w:w="570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E1</w:t>
            </w:r>
          </w:p>
        </w:tc>
        <w:tc>
          <w:tcPr>
            <w:tcW w:w="812" w:type="dxa"/>
            <w:vAlign w:val="center"/>
          </w:tcPr>
          <w:p w:rsidR="00EE18AB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Diabetes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E2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Cáncer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10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E3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Diabetes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11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E4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Cáncer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12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0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$30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13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2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14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2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$90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15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16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120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17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Pendiente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Negada</w:t>
            </w:r>
          </w:p>
        </w:tc>
      </w:tr>
    </w:tbl>
    <w:p w:rsidR="008336C6" w:rsidRPr="0012217F" w:rsidRDefault="008336C6" w:rsidP="001F79B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Una vez obtenida la cuota,</w:t>
      </w:r>
      <w:r>
        <w:rPr>
          <w:rFonts w:ascii="Calibri" w:eastAsia="Times New Roman" w:hAnsi="Calibri" w:cs="Calibri"/>
          <w:color w:val="000000"/>
          <w:lang w:eastAsia="es-EC"/>
        </w:rPr>
        <w:t xml:space="preserve"> el cliente tiene la opción de:</w:t>
      </w:r>
    </w:p>
    <w:p w:rsidR="0012217F" w:rsidRPr="0012217F" w:rsidRDefault="006453D8" w:rsidP="0012217F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000000"/>
          <w:lang w:eastAsia="es-EC"/>
        </w:rPr>
        <w:t>contratar el seguro y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</w:t>
      </w:r>
    </w:p>
    <w:p w:rsidR="0012217F" w:rsidRPr="0012217F" w:rsidRDefault="0012217F" w:rsidP="0012217F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enviar el cálculo del cotizador a su dirección de correo electrónico junto con un número de referencia, el cual le permitirá contratar el seguro hasta un mes des</w:t>
      </w:r>
      <w:r>
        <w:rPr>
          <w:rFonts w:ascii="Calibri" w:eastAsia="Times New Roman" w:hAnsi="Calibri" w:cs="Calibri"/>
          <w:color w:val="000000"/>
          <w:lang w:eastAsia="es-EC"/>
        </w:rPr>
        <w:t>pués de utilizado el cotizador.</w:t>
      </w:r>
    </w:p>
    <w:p w:rsidR="0012217F" w:rsidRP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desea contratar el seguro deberá llenar un formulario con todos sus datos y el de sus dependientes.  Posterior a esto, debe de pagar ya sea con cualquier tarjeta de crédito o PayPal. El recibo de pago y la póliza serán enviadas por email al asegurado. </w:t>
      </w:r>
    </w:p>
    <w:p w:rsidR="008336C6" w:rsidRPr="008336C6" w:rsidRDefault="008336C6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Preguntas:</w:t>
      </w:r>
    </w:p>
    <w:p w:rsidR="0012217F" w:rsidRDefault="0012217F" w:rsidP="0012217F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Codifique las pruebas necesarias para obtener una cobertura del 100 % del código.</w:t>
      </w:r>
    </w:p>
    <w:p w:rsidR="0012217F" w:rsidRPr="0012217F" w:rsidRDefault="0012217F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(repositorio: </w:t>
      </w:r>
      <w:hyperlink r:id="rId5" w:tgtFrame="_blank" w:history="1"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https://github.com/mavemore/SWII_Examen_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F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inal_Tema_1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). Revise en </w:t>
      </w:r>
      <w:proofErr w:type="spellStart"/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Coveralls</w:t>
      </w:r>
      <w:proofErr w:type="spellEnd"/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la cobertura lograda (</w:t>
      </w:r>
      <w:hyperlink r:id="rId6" w:tgtFrame="_blank" w:history="1"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http://cov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e</w:t>
        </w:r>
        <w:bookmarkStart w:id="0" w:name="_GoBack"/>
        <w:bookmarkEnd w:id="0"/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r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a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l</w:t>
        </w:r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ls.io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</w:t>
      </w:r>
    </w:p>
    <w:p w:rsidR="00E57D27" w:rsidRDefault="0012217F" w:rsidP="0012217F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Codifique las pruebas necesarias para probar la funcionalidad de cotización para los clientes que son hombre</w:t>
      </w:r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s solteros utilizando </w:t>
      </w:r>
      <w:proofErr w:type="spellStart"/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>Cucumber</w:t>
      </w:r>
      <w:proofErr w:type="spellEnd"/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>.</w:t>
      </w:r>
    </w:p>
    <w:p w:rsidR="0012217F" w:rsidRPr="0012217F" w:rsidRDefault="0012217F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(repositorio: </w:t>
      </w:r>
      <w:hyperlink r:id="rId7" w:tgtFrame="_blank" w:history="1"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https://github.com/mavemore/SWII_Examen_Final_Tema_2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  Verifique en Travis el resultado de sus pruebas (</w:t>
      </w:r>
      <w:hyperlink r:id="rId8" w:tgtFrame="_blank" w:history="1"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https://travis-ci.com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</w:t>
      </w:r>
    </w:p>
    <w:p w:rsidR="0012217F" w:rsidRDefault="0012217F" w:rsidP="003A773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E57D27">
        <w:rPr>
          <w:rFonts w:ascii="Calibri" w:eastAsia="Times New Roman" w:hAnsi="Calibri" w:cs="Calibri"/>
          <w:b/>
          <w:bCs/>
          <w:color w:val="000000"/>
          <w:lang w:eastAsia="es-EC"/>
        </w:rPr>
        <w:t>Qué pruebas de sistema deberían realizarse para garantizar la contratación del seguro, la cual incluye obligatoriamente el pago correspondiente y la emisión de la póliza.  Haga un plan de pruebas de sistema.</w:t>
      </w:r>
    </w:p>
    <w:p w:rsidR="00E57D27" w:rsidRPr="008336C6" w:rsidRDefault="00E57D27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sectPr w:rsidR="00E57D27" w:rsidRPr="0083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433"/>
    <w:multiLevelType w:val="multilevel"/>
    <w:tmpl w:val="F4BA2D4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F7A2A"/>
    <w:multiLevelType w:val="multilevel"/>
    <w:tmpl w:val="F4BA2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F2C69"/>
    <w:multiLevelType w:val="multilevel"/>
    <w:tmpl w:val="9652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B6BF6"/>
    <w:multiLevelType w:val="multilevel"/>
    <w:tmpl w:val="EFD0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A79C6"/>
    <w:multiLevelType w:val="multilevel"/>
    <w:tmpl w:val="DE9E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96A8E"/>
    <w:multiLevelType w:val="hybridMultilevel"/>
    <w:tmpl w:val="0DEA0F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  <w:sz w:val="22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3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F"/>
    <w:rsid w:val="0012217F"/>
    <w:rsid w:val="001C140B"/>
    <w:rsid w:val="001F79B5"/>
    <w:rsid w:val="002040F2"/>
    <w:rsid w:val="005D2352"/>
    <w:rsid w:val="006453D8"/>
    <w:rsid w:val="008336C6"/>
    <w:rsid w:val="00846621"/>
    <w:rsid w:val="00940362"/>
    <w:rsid w:val="00CB3492"/>
    <w:rsid w:val="00E57D27"/>
    <w:rsid w:val="00ED1E19"/>
    <w:rsid w:val="00E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62FC"/>
  <w15:chartTrackingRefBased/>
  <w15:docId w15:val="{8789E3F9-C489-4EBF-92DE-9B198F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221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21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emore/SWII_Examen_Final_Tema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veralls.io/" TargetMode="External"/><Relationship Id="rId5" Type="http://schemas.openxmlformats.org/officeDocument/2006/relationships/hyperlink" Target="https://github.com/mavemore/SWII_Examen_Final_Tema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1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Hochimin Tenecela Calderon</dc:creator>
  <cp:keywords/>
  <dc:description/>
  <cp:lastModifiedBy>Lenin Hochimin Tenecela Calderon</cp:lastModifiedBy>
  <cp:revision>5</cp:revision>
  <dcterms:created xsi:type="dcterms:W3CDTF">2018-09-04T08:21:00Z</dcterms:created>
  <dcterms:modified xsi:type="dcterms:W3CDTF">2018-09-06T12:35:00Z</dcterms:modified>
</cp:coreProperties>
</file>