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numId w:val="0"/>
        </w:numPr>
        <w:rPr>
          <w:rFonts w:hint="default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  <w:t>1、</w:t>
      </w:r>
      <w:bookmarkStart w:id="0" w:name="_GoBack"/>
      <w:r>
        <w:rPr>
          <w:rFonts w:hint="eastAsia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  <w:t>Feign</w:t>
      </w:r>
      <w:bookmarkEnd w:id="0"/>
      <w:r>
        <w:rPr>
          <w:rFonts w:hint="eastAsia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  <w:t xml:space="preserve"> logging</w:t>
      </w:r>
    </w:p>
    <w:p>
      <w:r>
        <w:drawing>
          <wp:inline distT="0" distB="0" distL="114300" distR="114300">
            <wp:extent cx="5269865" cy="22993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</w:pPr>
    </w:p>
    <w:p>
      <w:pPr>
        <w:numPr>
          <w:ilvl w:val="0"/>
          <w:numId w:val="0"/>
        </w:numPr>
        <w:rPr>
          <w:rFonts w:hint="default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  <w:t>2、@FeignClient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name:指定FeignClient名称，如果项目使用了Ribbon，该名称会用户服务发现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configuration:Feign配置类，可以自定义Feign的Encoder、Decoder、LogLevel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fallback:定义容错处理类，当调用远程接口失败时，会调用接口的容错逻辑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fallbackFactory: 用于生成fallback类示例，可以获取触发fallback的cause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Microsoft JhengHei" w:cs="宋体" w:hAnsiTheme="minorHAnsi" w:eastAsiaTheme="minorEastAsia"/>
          <w:b/>
          <w:color w:val="00B050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cs="宋体" w:hAnsiTheme="minorHAnsi" w:eastAsiaTheme="minorEastAsia"/>
          <w:b/>
          <w:color w:val="00B050"/>
          <w:kern w:val="0"/>
          <w:sz w:val="45"/>
          <w:szCs w:val="22"/>
          <w:lang w:val="en-US" w:eastAsia="zh-CN" w:bidi="zh-CN"/>
        </w:rPr>
        <w:t>Feign默认Client的替换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Feign默认使用的是JDK原生的URLConnection发送HTTP请求，没有连接池。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使用okhttp替换Feign默认的Client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3251200" cy="1149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1854200" cy="102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5271135" cy="2888615"/>
            <wp:effectExtent l="0" t="0" r="1206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rPr>
          <w:rFonts w:hint="eastAsia" w:ascii="Microsoft JhengHei" w:cs="宋体" w:hAnsiTheme="minorHAnsi" w:eastAsiaTheme="minorEastAsia"/>
          <w:b/>
          <w:color w:val="00B050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cs="宋体" w:hAnsiTheme="minorHAnsi" w:eastAsiaTheme="minorEastAsia"/>
          <w:b/>
          <w:color w:val="00B050"/>
          <w:kern w:val="0"/>
          <w:sz w:val="45"/>
          <w:szCs w:val="22"/>
          <w:lang w:val="en-US" w:eastAsia="zh-CN" w:bidi="zh-CN"/>
        </w:rPr>
        <w:t>4、Feign的Post和Get的多参数传递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eastAsia="宋体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SpringMVC是支持GET方法直接绑定POJO的，但是Feign的实现并没有覆盖所有的SpringMVC功能。最佳解决方式，通过Feign拦截器的方式处理：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通过实现Feign的RequestInterceptor中的apply方法进行统一拦截转换处理Feign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；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746C"/>
    <w:multiLevelType w:val="singleLevel"/>
    <w:tmpl w:val="1891746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D57BF74"/>
    <w:multiLevelType w:val="singleLevel"/>
    <w:tmpl w:val="4D57BF74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67AF418B"/>
    <w:multiLevelType w:val="singleLevel"/>
    <w:tmpl w:val="67AF418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B1438"/>
    <w:rsid w:val="0F3B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2019-09-23T03:02:00Z</dcterms:created>
  <dc:creator>lhuang</dc:creator>
  <cp:lastModifiedBy>lhuang</cp:lastModifiedBy>
  <dcterms:modified xsi:type="dcterms:W3CDTF">2019-09-23T03:54:54Z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