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Notification de décision</w:t>
      </w:r>
    </w:p>
    <w:p>
      <w:r>
        <w:t>Conformément à l'article L. 312-2 du code des relations entre le public et l'administration, et à l'issue de l'instruction menée par les services compétents, votre demande d'allocation déposée le 3 mars 2026 a été examinée par la commission départementale réunie le 14 avril 2026.</w:t>
      </w:r>
    </w:p>
    <w:p>
      <w:r>
        <w:t>Il convient de produire les pièces justificatives manquantes afin de permettre la poursuite de l'instruction.</w:t>
      </w:r>
    </w:p>
    <w:p>
      <w:r>
        <w:t>Le dossier est susceptible d'être complété par le biais du téléservice mis à votre disposition.</w:t>
      </w:r>
    </w:p>
    <w:p>
      <w:r>
        <w:t>En l'absence de réponse de votre part dans un délai de deux mois, la demande sera rejetée.</w:t>
      </w:r>
    </w:p>
    <w:p>
      <w:r>
        <w:t>Préalablement à tout recours contentieux, un recours gracieux peut être formé auprès du directeur départemental.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Référence du dossier</w:t>
            </w:r>
          </w:p>
        </w:tc>
        <w:tc>
          <w:tcPr>
            <w:tcW w:type="dxa" w:w="4320"/>
          </w:tcPr>
          <w:p>
            <w:r>
              <w:t>2026-04-1187</w:t>
            </w:r>
          </w:p>
        </w:tc>
      </w:tr>
      <w:tr>
        <w:tc>
          <w:tcPr>
            <w:tcW w:type="dxa" w:w="4320"/>
          </w:tcPr>
          <w:p>
            <w:r>
              <w:t>Date de la décision</w:t>
            </w:r>
          </w:p>
        </w:tc>
        <w:tc>
          <w:tcPr>
            <w:tcW w:type="dxa" w:w="4320"/>
          </w:tcPr>
          <w:p>
            <w:r>
              <w:t>14 avril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