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采购申请与验收流程</w:t>
      </w:r>
    </w:p>
    <w:p>
      <w:r>
        <w:t>本文中的公司、人员、客户、金额、联系方式和业务记录均为虚构，仅用于知序项目演示。</w:t>
      </w:r>
    </w:p>
    <w:p>
      <w:r>
        <w:t>文档编号：FIN-PO-001。版本：2026.09。维护负责人：许澄。生效日期：2026-09-01。</w:t>
      </w:r>
    </w:p>
    <w:p>
      <w:pPr>
        <w:pStyle w:val="Heading1"/>
      </w:pPr>
      <w:r>
        <w:t>范围与原则</w:t>
      </w:r>
    </w:p>
    <w:p>
      <w:r>
        <w:t>适用于办公设备、软件许可、培训和项目外包的虚构采购。需求部门先确认用途、现有资源和预算，采购组组织询价，财务核对付款依据。相同需求优先汇总，避免各组重复采购。设备申请与软件续费仍须明确维护人。</w:t>
      </w:r>
    </w:p>
    <w:p>
      <w:pPr>
        <w:pStyle w:val="Heading1"/>
      </w:pPr>
      <w:r>
        <w:t>申请字段</w:t>
      </w:r>
    </w:p>
    <w:p>
      <w:r>
        <w:t>填写申请编号、部门、项目、物品或服务、数量、期望到货时间、预算金额、验收条件与维护人。示例PO-202609-032为青禾交付团队申请4台演示笔记本，预算24000元，计划10月3日前到货，由陈屿验收设备，沈言确认项目用途。</w:t>
      </w:r>
    </w:p>
    <w:p>
      <w:pPr>
        <w:pStyle w:val="Heading1"/>
      </w:pPr>
      <w:r>
        <w:t>审批分级</w:t>
      </w:r>
    </w:p>
    <w:p>
      <w:r>
        <w:t>预算内不超过3000元由部门负责人批准；3000至20000元增加采购组询价与财务核验；超过20000元增加经营管理组确认。预算外申请先调整预算。分级仅为演示内部约定，不能通过拆分订单规避同一需求的审核。</w:t>
      </w:r>
    </w:p>
    <w:p>
      <w:pPr>
        <w:pStyle w:val="Heading1"/>
      </w:pPr>
      <w:r>
        <w:t>比价与供应商</w:t>
      </w:r>
    </w:p>
    <w:p>
      <w:r>
        <w:t>采购组记录至少三项可比信息：规格、含税报价和服务条件；通常向两家虚构供应商询价。只有单一可用供应商时写明适配、兼容或交付限制，保留说明与批准记录。选择最低报价前检查是否包含实施、售后及许可期限。</w:t>
      </w:r>
    </w:p>
    <w:p>
      <w:pPr>
        <w:pStyle w:val="Heading1"/>
      </w:pPr>
      <w:r>
        <w:t>订单和合同</w:t>
      </w:r>
    </w:p>
    <w:p>
      <w:r>
        <w:t>确认规格、数量、交付地址角色、交付时间、验收条件、付款节点和售后窗口。软件许可明确席位数、期限和续费方式；项目外包明确成果范围和交接材料。演示订单不放真实银行卡、税号或签名。</w:t>
      </w:r>
    </w:p>
    <w:p>
      <w:pPr>
        <w:pStyle w:val="Heading1"/>
      </w:pPr>
      <w:r>
        <w:t>收货与验收</w:t>
      </w:r>
    </w:p>
    <w:p>
      <w:r>
        <w:t>需求部门核对数量和业务功能，IT核对设备配置或软件可用性。验收单关联订单、资产或服务记录；缺陷写清影响和整改期限。只收到快递不代表功能验收，未完成整改的事项保留待验收状态。</w:t>
      </w:r>
    </w:p>
    <w:p>
      <w:pPr>
        <w:pStyle w:val="Heading1"/>
      </w:pPr>
      <w:r>
        <w:t>付款与归档</w:t>
      </w:r>
    </w:p>
    <w:p>
      <w:r>
        <w:t>付款申请提交订单、验收记录、发票和约定付款条件。预付款明确后续交付检查点；尾款依据验收状态处理。归档包含申请、审批、报价、订单、验收、发票和支付记录，便于项目成本追踪。</w:t>
      </w:r>
    </w:p>
    <w:p>
      <w:pPr>
        <w:pStyle w:val="Heading1"/>
      </w:pPr>
      <w:r>
        <w:t>变更案例</w:t>
      </w:r>
    </w:p>
    <w:p>
      <w:r>
        <w:t>PO-202609-032供应商延迟2天，采购组记录通知，沈言安排2台备用设备，陈屿核对借用期限。最终到货后收回备用设备并更新资产记录；计划日期保留旧值和变更原因，不直接覆盖历史。</w:t>
      </w:r>
    </w:p>
    <w:p>
      <w:pPr>
        <w:pStyle w:val="Heading1"/>
      </w:pPr>
      <w:r>
        <w:t>相关资料</w:t>
      </w:r>
    </w:p>
    <w:p>
      <w:r>
        <w:t>办公设备指引、供应商服务评价与续费、预算与预支管理。</w:t>
      </w:r>
    </w:p>
    <w:p>
      <w:pPr>
        <w:pStyle w:val="Heading1"/>
      </w:pPr>
      <w:r>
        <w:t>资料维护记录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日期</w:t>
            </w:r>
          </w:p>
        </w:tc>
        <w:tc>
          <w:tcPr>
            <w:tcW w:type="dxa" w:w="3211"/>
          </w:tcPr>
          <w:p>
            <w:r>
              <w:t>事项</w:t>
            </w:r>
          </w:p>
        </w:tc>
        <w:tc>
          <w:tcPr>
            <w:tcW w:type="dxa" w:w="3211"/>
          </w:tcPr>
          <w:p>
            <w:r>
              <w:t>维护角色</w:t>
            </w:r>
          </w:p>
        </w:tc>
      </w:tr>
      <w:tr>
        <w:tc>
          <w:tcPr>
            <w:tcW w:type="dxa" w:w="3211"/>
          </w:tcPr>
          <w:p>
            <w:r>
              <w:t>2026-09-01</w:t>
            </w:r>
          </w:p>
        </w:tc>
        <w:tc>
          <w:tcPr>
            <w:tcW w:type="dxa" w:w="3211"/>
          </w:tcPr>
          <w:p>
            <w:r>
              <w:t>发布演示版本</w:t>
            </w:r>
          </w:p>
        </w:tc>
        <w:tc>
          <w:tcPr>
            <w:tcW w:type="dxa" w:w="3211"/>
          </w:tcPr>
          <w:p>
            <w:r>
              <w:t>文档负责人</w:t>
            </w:r>
          </w:p>
        </w:tc>
      </w:tr>
      <w:tr>
        <w:tc>
          <w:tcPr>
            <w:tcW w:type="dxa" w:w="3211"/>
          </w:tcPr>
          <w:p>
            <w:r>
              <w:t>2026-09-22</w:t>
            </w:r>
          </w:p>
        </w:tc>
        <w:tc>
          <w:tcPr>
            <w:tcW w:type="dxa" w:w="3211"/>
          </w:tcPr>
          <w:p>
            <w:r>
              <w:t>补充流程 例外和案例</w:t>
            </w:r>
          </w:p>
        </w:tc>
        <w:tc>
          <w:tcPr>
            <w:tcW w:type="dxa" w:w="3211"/>
          </w:tcPr>
          <w:p>
            <w:r>
              <w:t>部门资料负责人</w:t>
            </w:r>
          </w:p>
        </w:tc>
      </w:tr>
    </w:tbl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 w:eastAsia="Microsoft YaHei"/>
      <w:color w:val="1E2D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E2D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采购申请与验收流程</dc:title>
  <dc:subject>知序项目虚构语料</dc:subject>
  <dc:creator>星桥科技虚构演示</dc:creator>
  <cp:keywords/>
  <dc:description>本文中的公司、人员、客户、金额、联系方式和业务记录均为虚构，仅用于知序项目演示。</dc:description>
  <cp:lastModifiedBy>星桥科技虚构演示</cp:lastModifiedBy>
  <cp:revision>1</cp:revision>
  <dcterms:created xsi:type="dcterms:W3CDTF">2026-09-01T00:00:00Z</dcterms:created>
  <dcterms:modified xsi:type="dcterms:W3CDTF">2026-09-01T00:00:00Z</dcterms:modified>
  <cp:category/>
</cp:coreProperties>
</file>