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星桥科技人事制度</w:t>
      </w:r>
    </w:p>
    <w:p>
      <w:r>
        <w:t>本文中的公司、人员、客户、金额、联系方式和业务记录均为虚构，仅用于知序项目演示。</w:t>
      </w:r>
    </w:p>
    <w:p>
      <w:pPr>
        <w:pStyle w:val="Heading1"/>
      </w:pPr>
      <w:r>
        <w:t>请假流程</w:t>
      </w:r>
    </w:p>
    <w:p>
      <w:r>
        <w:t>请假申请需提前3个工作日提交，填写请假类型、起止日期和交接人，由直属负责人审批。紧急情况应先联系负责人。</w:t>
      </w:r>
    </w:p>
    <w:p>
      <w:pPr>
        <w:pStyle w:val="Heading1"/>
      </w:pPr>
      <w:r>
        <w:t>入职办理</w:t>
      </w:r>
    </w:p>
    <w:p>
      <w:r>
        <w:t>新员工入职当天由人事演示专员安排账号开通和培训。办公设备由 IT 服务台登记发放。</w:t>
      </w:r>
    </w:p>
    <w:p>
      <w:pPr>
        <w:pStyle w:val="Heading1"/>
      </w:pPr>
      <w:r>
        <w:t>适用范围和职责</w:t>
      </w:r>
    </w:p>
    <w:p>
      <w:r>
        <w:t>本手册适用于星桥科技约 120 名虚构员工，由人事行政组顾宁维护，版本 HR-2026-09。直属负责人负责岗位任务和交接安排，人事负责流程记录，IT 服务台负责设备与账号。联系人 hr@example.com 为保留示例域名邮箱。</w:t>
      </w:r>
    </w:p>
    <w:p>
      <w:pPr>
        <w:pStyle w:val="Heading1"/>
      </w:pPr>
      <w:r>
        <w:t>入职前准备</w:t>
      </w:r>
    </w:p>
    <w:p>
      <w:r>
        <w:t>入职日前 3 个工作日，人事确认岗位、部门、直属负责人、到岗时间和导师，建立入职清单。员工在实际项目中应通过正式渠道提交材料，本演示不收集身份证、银行卡或家庭住址。导师于前一日检查工位、培训计划和首周任务。</w:t>
      </w:r>
    </w:p>
    <w:p>
      <w:pPr>
        <w:pStyle w:val="Heading1"/>
      </w:pPr>
      <w:r>
        <w:t>入职当日安排</w:t>
      </w:r>
    </w:p>
    <w:p>
      <w:r>
        <w:t>上午由人事说明组织分工、考勤和安全事项，完成必要材料确认；IT 服务台核对设备申请并发放演示资产。下午由导师介绍团队项目、协作渠道和文档位置。员工使用 IT 工单记录账号问题，不向同事索要共享密码。</w:t>
      </w:r>
    </w:p>
    <w:p>
      <w:pPr>
        <w:pStyle w:val="Heading1"/>
      </w:pPr>
      <w:r>
        <w:t>三十天融入计划</w:t>
      </w:r>
    </w:p>
    <w:p>
      <w:r>
        <w:t>第 1 周学习产品与工作流程，并完成一项低风险任务；第 2 周跟随导师处理一个实际业务案例；第 3 周独立完成任务并记录问题；第 4 周由员工、导师和负责人复盘。复盘记录任务结果、待补技能与下一月计划，不用学习时长代替实际产出。</w:t>
      </w:r>
    </w:p>
    <w:p>
      <w:pPr>
        <w:pStyle w:val="Heading1"/>
      </w:pPr>
      <w:r>
        <w:t>请假申请与交接</w:t>
      </w:r>
    </w:p>
    <w:p>
      <w:r>
        <w:t>常规请假提前 3 个工作日提出，填写类型、时间、交接人和受影响事项；负责人核对团队覆盖情况后审批。紧急情况先联系负责人，能够操作后补记录。涉及真实证明材料的处理应依据真实公司制度，本演示仅保留无个人信息的示例。</w:t>
      </w:r>
    </w:p>
    <w:p>
      <w:pPr>
        <w:pStyle w:val="Heading1"/>
      </w:pPr>
      <w:r>
        <w:t>交接单要素</w:t>
      </w:r>
    </w:p>
    <w:p>
      <w:r>
        <w:t>交接单至少包括项目编号、当前进展、待处理问题、下次截止日期、资料位置及接替人确认。请假前一天检查外部会议、客户承诺和审批待办；需要改期的会议应提前通知。接替人收到任务后在交接单确认，而不是只发一句“收到”。</w:t>
      </w:r>
    </w:p>
    <w:p>
      <w:pPr>
        <w:pStyle w:val="Heading1"/>
      </w:pPr>
      <w:r>
        <w:t>考勤更正</w:t>
      </w:r>
    </w:p>
    <w:p>
      <w:r>
        <w:t>发现漏记或时间错误时，员工提交日期、实际工作安排与说明，由负责人确认，人事保留原记录及修订记录。不能以修改记录隐藏实际缺勤。外出拜访和远程协作按照批准安排填写，不以聊天上线时间单独判断出勤。</w:t>
      </w:r>
    </w:p>
    <w:p>
      <w:pPr>
        <w:pStyle w:val="Heading1"/>
      </w:pPr>
      <w:r>
        <w:t>远程办公与外出</w:t>
      </w:r>
    </w:p>
    <w:p>
      <w:r>
        <w:t>短期远程安排由负责人确认交付目标、联系窗口和设备条件。每日同步重点事项及阻塞问题，会议记录与工作成果归档到团队目录。外出拜访提前关联客户和项目编号，返回后记录结果及后续动作。</w:t>
      </w:r>
    </w:p>
    <w:p>
      <w:pPr>
        <w:pStyle w:val="Heading1"/>
      </w:pPr>
      <w:r>
        <w:t>培训申请</w:t>
      </w:r>
    </w:p>
    <w:p>
      <w:r>
        <w:t>员工说明学习主题、岗位关联、费用和预期成果。部门负责人确认预算；超过 2000 元的演示培训申请增加人事复核。培训结束 10 个工作日内提交笔记和可复用案例，说明如何用于当前任务，不把培训证书数量当作唯一成效。</w:t>
      </w:r>
    </w:p>
    <w:p>
      <w:pPr>
        <w:pStyle w:val="Heading1"/>
      </w:pPr>
      <w:r>
        <w:t>岗位与导师调整</w:t>
      </w:r>
    </w:p>
    <w:p>
      <w:r>
        <w:t>负责人提出调整说明，包含业务原因、交接期限、目标岗位及需要补齐的技能。人事记录新旧部门和生效日期，IT 根据确认范围调整账号授权。实际劳动关系变动需按真实公司制度处理，本示例不提供法律结论。</w:t>
      </w:r>
    </w:p>
    <w:p>
      <w:pPr>
        <w:pStyle w:val="Heading1"/>
      </w:pPr>
      <w:r>
        <w:t>试用与阶段回顾</w:t>
      </w:r>
    </w:p>
    <w:p>
      <w:r>
        <w:t>第 30 天和第 60 天安排阶段回顾，记录工作目标、已完成任务、质量反馈、协作问题和支持措施。员工可补充不同意见，负责人针对具体事实反馈。演示记录不使用个人健康、婚育或其他敏感背景进行评价。</w:t>
      </w:r>
    </w:p>
    <w:p>
      <w:pPr>
        <w:pStyle w:val="Heading1"/>
      </w:pPr>
      <w:r>
        <w:t>团队活动和福利申请</w:t>
      </w:r>
    </w:p>
    <w:p>
      <w:r>
        <w:t>团队活动提交人数、时间、内容、预算和安全安排。人事审核组织事项，财务核对预算科目；活动费用与个人差旅费用分开。未用完预算不要求年底突击消费，变更人数或费用时更新原申请。</w:t>
      </w:r>
    </w:p>
    <w:p>
      <w:pPr>
        <w:pStyle w:val="Heading1"/>
      </w:pPr>
      <w:r>
        <w:t>离岗交接与资产归还</w:t>
      </w:r>
    </w:p>
    <w:p>
      <w:r>
        <w:t>离岗交接由业务负责人确认任务及客户事项，IT 服务台核对电脑、外设和账号，人事检查清单，财务核对预支余额。公司资料保留在正式团队空间，个人设备上的业务副本按确认清单处理。演示仅记录资产编号，不记录真实设备密钥。</w:t>
      </w:r>
    </w:p>
    <w:p>
      <w:pPr>
        <w:pStyle w:val="Heading1"/>
      </w:pPr>
      <w:r>
        <w:t>制度问题反馈</w:t>
      </w:r>
    </w:p>
    <w:p>
      <w:r>
        <w:t>员工发现职责不清或不同制度冲突时，提交文档名称、版本、具体段落及业务情境。人事分派给制度负责人，答复后记录修订意见和发布日期。旧版标记归档；尚未确定的事项保持待确认，不在口头沟通后悄悄覆盖原文。</w:t>
      </w:r>
    </w:p>
    <w:p>
      <w:pPr>
        <w:pStyle w:val="Heading1"/>
      </w:pPr>
      <w:r>
        <w:t>常见问题</w:t>
      </w:r>
    </w:p>
    <w:p>
      <w:r>
        <w:t>临时请假应先联系负责人并安排客户事项交接；设备损坏联系 IT，不由人事直接批准更换；费用报销找财务，入职流程找人事；导师不能代替负责人批准预算。组织通讯录和服务目录列出了各组的职责与演示邮箱。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星桥科技人事制度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