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png" ContentType="image/jpeg"/>
  <Override PartName="/word/media/image11.png" ContentType="image/jpeg"/>
  <Override PartName="/word/media/image3.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00" w:lineRule="auto"/>
        <w:jc w:val="left"/>
      </w:pPr>
      <w:r>
        <w:rPr>
          <w:rFonts w:ascii="Calibri" w:hAnsi="Calibri" w:eastAsia="Microsoft YaHei"/>
          <w:b/>
          <w:i w:val="0"/>
          <w:color w:val="2E74B5"/>
          <w:sz w:val="20"/>
        </w:rPr>
        <w:t>PRODUCT REQUIREMENTS SPECIFICATION</w:t>
      </w:r>
    </w:p>
    <w:p>
      <w:pPr>
        <w:spacing w:before="0" w:after="60" w:line="300" w:lineRule="auto"/>
        <w:jc w:val="left"/>
      </w:pPr>
      <w:r>
        <w:rPr>
          <w:rFonts w:ascii="Calibri" w:hAnsi="Calibri" w:eastAsia="Microsoft YaHei"/>
          <w:b/>
          <w:i w:val="0"/>
          <w:color w:val="000000"/>
          <w:sz w:val="46"/>
        </w:rPr>
        <w:t>支付代理商管理系统</w:t>
      </w:r>
    </w:p>
    <w:p>
      <w:pPr>
        <w:spacing w:before="0" w:after="360" w:line="300" w:lineRule="auto"/>
        <w:jc w:val="left"/>
      </w:pPr>
      <w:r>
        <w:rPr>
          <w:rFonts w:ascii="Calibri" w:hAnsi="Calibri" w:eastAsia="Microsoft YaHei"/>
          <w:b w:val="0"/>
          <w:i w:val="0"/>
          <w:color w:val="1F4D78"/>
          <w:sz w:val="30"/>
        </w:rPr>
        <w:t>完整功能需求规格说明书</w:t>
      </w:r>
    </w:p>
    <w:p>
      <w:pPr>
        <w:spacing w:after="60" w:line="276" w:lineRule="auto"/>
      </w:pPr>
      <w:r>
        <w:rPr>
          <w:rFonts w:ascii="Calibri" w:hAnsi="Calibri" w:eastAsia="Microsoft YaHei"/>
          <w:b/>
          <w:i w:val="0"/>
          <w:color w:val="0B2545"/>
          <w:sz w:val="21"/>
        </w:rPr>
        <w:t>文档版本：</w:t>
      </w:r>
      <w:r>
        <w:rPr>
          <w:rFonts w:ascii="Calibri" w:hAnsi="Calibri" w:eastAsia="Microsoft YaHei"/>
          <w:b w:val="0"/>
          <w:i w:val="0"/>
          <w:color w:val="000000"/>
          <w:sz w:val="21"/>
        </w:rPr>
        <w:t>V1.0</w:t>
      </w:r>
    </w:p>
    <w:p>
      <w:pPr>
        <w:spacing w:after="60" w:line="276" w:lineRule="auto"/>
      </w:pPr>
      <w:r>
        <w:rPr>
          <w:rFonts w:ascii="Calibri" w:hAnsi="Calibri" w:eastAsia="Microsoft YaHei"/>
          <w:b/>
          <w:i w:val="0"/>
          <w:color w:val="0B2545"/>
          <w:sz w:val="21"/>
        </w:rPr>
        <w:t>文档状态：</w:t>
      </w:r>
      <w:r>
        <w:rPr>
          <w:rFonts w:ascii="Calibri" w:hAnsi="Calibri" w:eastAsia="Microsoft YaHei"/>
          <w:b w:val="0"/>
          <w:i w:val="0"/>
          <w:color w:val="000000"/>
          <w:sz w:val="21"/>
        </w:rPr>
        <w:t>内部评审稿</w:t>
      </w:r>
    </w:p>
    <w:p>
      <w:pPr>
        <w:spacing w:after="60" w:line="276" w:lineRule="auto"/>
      </w:pPr>
      <w:r>
        <w:rPr>
          <w:rFonts w:ascii="Calibri" w:hAnsi="Calibri" w:eastAsia="Microsoft YaHei"/>
          <w:b/>
          <w:i w:val="0"/>
          <w:color w:val="0B2545"/>
          <w:sz w:val="21"/>
        </w:rPr>
        <w:t>形成日期：</w:t>
      </w:r>
      <w:r>
        <w:rPr>
          <w:rFonts w:ascii="Calibri" w:hAnsi="Calibri" w:eastAsia="Microsoft YaHei"/>
          <w:b w:val="0"/>
          <w:i w:val="0"/>
          <w:color w:val="000000"/>
          <w:sz w:val="21"/>
        </w:rPr>
        <w:t>2026-08-19</w:t>
      </w:r>
    </w:p>
    <w:p>
      <w:pPr>
        <w:spacing w:after="60" w:line="276" w:lineRule="auto"/>
      </w:pPr>
      <w:r>
        <w:rPr>
          <w:rFonts w:ascii="Calibri" w:hAnsi="Calibri" w:eastAsia="Microsoft YaHei"/>
          <w:b/>
          <w:i w:val="0"/>
          <w:color w:val="0B2545"/>
          <w:sz w:val="21"/>
        </w:rPr>
        <w:t>证据基础：</w:t>
      </w:r>
      <w:r>
        <w:rPr>
          <w:rFonts w:ascii="Calibri" w:hAnsi="Calibri" w:eastAsia="Microsoft YaHei"/>
          <w:b w:val="0"/>
          <w:i w:val="0"/>
          <w:color w:val="000000"/>
          <w:sz w:val="21"/>
        </w:rPr>
        <w:t>代理商角色登录态下的只读界面探查与安全截图</w:t>
      </w:r>
    </w:p>
    <w:p>
      <w:pPr>
        <w:spacing w:after="60" w:line="276" w:lineRule="auto"/>
      </w:pPr>
      <w:r>
        <w:rPr>
          <w:rFonts w:ascii="Calibri" w:hAnsi="Calibri" w:eastAsia="Microsoft YaHei"/>
          <w:b/>
          <w:i w:val="0"/>
          <w:color w:val="0B2545"/>
          <w:sz w:val="21"/>
        </w:rPr>
        <w:t>目标读者：</w:t>
      </w:r>
      <w:r>
        <w:rPr>
          <w:rFonts w:ascii="Calibri" w:hAnsi="Calibri" w:eastAsia="Microsoft YaHei"/>
          <w:b w:val="0"/>
          <w:i w:val="0"/>
          <w:color w:val="000000"/>
          <w:sz w:val="21"/>
        </w:rPr>
        <w:t>产品、研发、测试、风控、财务、实施与运维团队</w:t>
      </w:r>
    </w:p>
    <w:p>
      <w:pPr>
        <w:spacing w:after="60" w:line="276" w:lineRule="auto"/>
      </w:pPr>
      <w:r>
        <w:rPr>
          <w:rFonts w:ascii="Calibri" w:hAnsi="Calibri" w:eastAsia="Microsoft YaHei"/>
          <w:b/>
          <w:i w:val="0"/>
          <w:color w:val="0B2545"/>
          <w:sz w:val="21"/>
        </w:rPr>
        <w:t>适用范围：</w:t>
      </w:r>
      <w:r>
        <w:rPr>
          <w:rFonts w:ascii="Calibri" w:hAnsi="Calibri" w:eastAsia="Microsoft YaHei"/>
          <w:b w:val="0"/>
          <w:i w:val="0"/>
          <w:color w:val="000000"/>
          <w:sz w:val="21"/>
        </w:rPr>
        <w:t>代理层级、商户进件、审核、账户资金、交易报表、营销和个人安全</w:t>
      </w:r>
    </w:p>
    <w:p>
      <w:pPr>
        <w:keepLines/>
        <w:spacing w:before="80" w:after="160" w:line="276" w:lineRule="auto"/>
        <w:shd w:fill="F4F6F9"/>
        <w:pBdr>
          <w:left w:val="single" w:sz="18" w:space="8" w:color="0B2545"/>
        </w:pBdr>
      </w:pPr>
      <w:r>
        <w:rPr>
          <w:rFonts w:ascii="Calibri" w:hAnsi="Calibri" w:eastAsia="Microsoft YaHei"/>
          <w:b/>
          <w:i w:val="0"/>
          <w:color w:val="0B2545"/>
          <w:sz w:val="21"/>
        </w:rPr>
        <w:t>重要说明</w:t>
        <w:br/>
      </w:r>
      <w:r>
        <w:rPr>
          <w:rFonts w:ascii="Calibri" w:hAnsi="Calibri" w:eastAsia="Microsoft YaHei"/>
          <w:b w:val="0"/>
          <w:i w:val="0"/>
          <w:color w:val="000000"/>
          <w:sz w:val="20"/>
        </w:rPr>
        <w:t>本文将界面中已实际观察到的能力标记为“已观察”，将基于支付行业必要控制提出的能力标记为“目标需求”，将当前角色不可见或禁止真实提交验证的内容标记为“待确认”。本文未执行任何真实数据新增、修改、启停、审核、提交、导出或下载操作。</w:t>
      </w:r>
    </w:p>
    <w:p>
      <w:r>
        <w:br w:type="page"/>
      </w:r>
    </w:p>
    <w:p>
      <w:pPr>
        <w:pStyle w:val="Heading1"/>
        <w:keepNext/>
      </w:pPr>
      <w:r>
        <w:t>文档控制</w:t>
      </w:r>
    </w:p>
    <w:tbl>
      <w:tblPr>
        <w:tblW w:type="dxa" w:w="9360"/>
        <w:jc w:val="left"/>
        <w:tblLayout w:type="fixed"/>
        <w:tblLook w:firstColumn="1" w:firstRow="1" w:lastColumn="0" w:lastRow="0" w:noHBand="0" w:noVBand="1" w:val="04A0"/>
        <w:tblInd w:type="dxa" w:w="120"/>
      </w:tblPr>
      <w:tblGrid>
        <w:gridCol w:w="1100"/>
        <w:gridCol w:w="1500"/>
        <w:gridCol w:w="1500"/>
        <w:gridCol w:w="5260"/>
      </w:tblGrid>
      <w:tr>
        <w:trPr>
          <w:tblHeader w:val="true"/>
        </w:trPr>
        <w:tc>
          <w:tcPr>
            <w:tcW w:type="dxa" w:w="110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9"/>
              </w:rPr>
              <w:t>版本</w:t>
            </w:r>
          </w:p>
        </w:tc>
        <w:tc>
          <w:tcPr>
            <w:tcW w:type="dxa" w:w="150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9"/>
              </w:rPr>
              <w:t>日期</w:t>
            </w:r>
          </w:p>
        </w:tc>
        <w:tc>
          <w:tcPr>
            <w:tcW w:type="dxa" w:w="150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9"/>
              </w:rPr>
              <w:t>状态</w:t>
            </w:r>
          </w:p>
        </w:tc>
        <w:tc>
          <w:tcPr>
            <w:tcW w:type="dxa" w:w="526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9"/>
              </w:rPr>
              <w:t>变更说明</w:t>
            </w:r>
          </w:p>
        </w:tc>
      </w:tr>
      <w:tr>
        <w:trPr>
          <w:cantSplit/>
        </w:trPr>
        <w:tc>
          <w:tcPr>
            <w:tcW w:type="dxa" w:w="11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9"/>
              </w:rPr>
              <w:t>V1.0</w:t>
            </w:r>
          </w:p>
        </w:tc>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9"/>
              </w:rPr>
              <w:t>2026-08-19</w:t>
            </w:r>
          </w:p>
        </w:tc>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9"/>
              </w:rPr>
              <w:t>内部评审</w:t>
            </w:r>
          </w:p>
        </w:tc>
        <w:tc>
          <w:tcPr>
            <w:tcW w:type="dxa" w:w="52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9"/>
              </w:rPr>
              <w:t>基于已探查模块形成完整需求基线，并纳入安全截图与验收标准。</w:t>
            </w:r>
          </w:p>
        </w:tc>
      </w:tr>
    </w:tbl>
    <w:p>
      <w:pPr>
        <w:spacing w:after="40"/>
      </w:pPr>
    </w:p>
    <w:p>
      <w:pPr>
        <w:pStyle w:val="Heading2"/>
        <w:keepNext/>
      </w:pPr>
      <w:r>
        <w:t>阅读标识</w:t>
      </w:r>
    </w:p>
    <w:tbl>
      <w:tblPr>
        <w:tblW w:type="dxa" w:w="9360"/>
        <w:jc w:val="left"/>
        <w:tblLayout w:type="fixed"/>
        <w:tblLook w:firstColumn="1" w:firstRow="1" w:lastColumn="0" w:lastRow="0" w:noHBand="0" w:noVBand="1" w:val="04A0"/>
        <w:tblInd w:type="dxa" w:w="120"/>
      </w:tblPr>
      <w:tblGrid>
        <w:gridCol w:w="1200"/>
        <w:gridCol w:w="3320"/>
        <w:gridCol w:w="4840"/>
      </w:tblGrid>
      <w:tr>
        <w:trPr>
          <w:tblHeader w:val="true"/>
        </w:trPr>
        <w:tc>
          <w:tcPr>
            <w:tcW w:type="dxa" w:w="120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8"/>
              </w:rPr>
              <w:t>标识</w:t>
            </w:r>
          </w:p>
        </w:tc>
        <w:tc>
          <w:tcPr>
            <w:tcW w:type="dxa" w:w="332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8"/>
              </w:rPr>
              <w:t>定义</w:t>
            </w:r>
          </w:p>
        </w:tc>
        <w:tc>
          <w:tcPr>
            <w:tcW w:type="dxa" w:w="484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8"/>
              </w:rPr>
              <w:t>使用规则</w:t>
            </w:r>
          </w:p>
        </w:tc>
      </w:tr>
      <w:tr>
        <w:trPr>
          <w:cantSplit/>
        </w:trPr>
        <w:tc>
          <w:tcPr>
            <w:tcW w:type="dxa" w:w="12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已观察</w:t>
            </w:r>
          </w:p>
        </w:tc>
        <w:tc>
          <w:tcPr>
            <w:tcW w:type="dxa" w:w="33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界面已实际显示的入口、字段、状态或操作。</w:t>
            </w:r>
          </w:p>
        </w:tc>
        <w:tc>
          <w:tcPr>
            <w:tcW w:type="dxa" w:w="48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可作为现状证据，但不代表后台校验已经通过真实提交验证。</w:t>
            </w:r>
          </w:p>
        </w:tc>
      </w:tr>
      <w:tr>
        <w:trPr>
          <w:cantSplit/>
        </w:trPr>
        <w:tc>
          <w:tcPr>
            <w:tcW w:type="dxa" w:w="12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目标需求</w:t>
            </w:r>
          </w:p>
        </w:tc>
        <w:tc>
          <w:tcPr>
            <w:tcW w:type="dxa" w:w="33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为形成可交付、可运营、可审计系统而提出的必要要求。</w:t>
            </w:r>
          </w:p>
        </w:tc>
        <w:tc>
          <w:tcPr>
            <w:tcW w:type="dxa" w:w="48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纳入产品设计、研发和测试范围。</w:t>
            </w:r>
          </w:p>
        </w:tc>
      </w:tr>
      <w:tr>
        <w:trPr>
          <w:cantSplit/>
        </w:trPr>
        <w:tc>
          <w:tcPr>
            <w:tcW w:type="dxa" w:w="12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待确认</w:t>
            </w:r>
          </w:p>
        </w:tc>
        <w:tc>
          <w:tcPr>
            <w:tcW w:type="dxa" w:w="33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受当前角色、无数据或禁止提交约束而无法确认的规则。</w:t>
            </w:r>
          </w:p>
        </w:tc>
        <w:tc>
          <w:tcPr>
            <w:tcW w:type="dxa" w:w="48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须由产品、业务、财务、风控或渠道方在评审中定稿。</w:t>
            </w:r>
          </w:p>
        </w:tc>
      </w:tr>
    </w:tbl>
    <w:p>
      <w:pPr>
        <w:spacing w:after="40"/>
      </w:pPr>
    </w:p>
    <w:p>
      <w:pPr>
        <w:pStyle w:val="Heading1"/>
        <w:keepNext/>
      </w:pPr>
      <w:r>
        <w:t>目录</w:t>
      </w:r>
    </w:p>
    <w:p>
      <w:pPr>
        <w:pStyle w:val="ListBullet"/>
        <w:spacing w:after="80" w:line="300" w:lineRule="auto"/>
      </w:pPr>
      <w:r>
        <w:rPr>
          <w:rFonts w:ascii="Calibri" w:hAnsi="Calibri" w:eastAsia="Microsoft YaHei"/>
          <w:b w:val="0"/>
          <w:i w:val="0"/>
          <w:color w:val="000000"/>
          <w:sz w:val="22"/>
        </w:rPr>
        <w:t>1. 文档目的与范围</w:t>
      </w:r>
    </w:p>
    <w:p>
      <w:pPr>
        <w:pStyle w:val="ListBullet"/>
        <w:spacing w:after="80" w:line="300" w:lineRule="auto"/>
      </w:pPr>
      <w:r>
        <w:rPr>
          <w:rFonts w:ascii="Calibri" w:hAnsi="Calibri" w:eastAsia="Microsoft YaHei"/>
          <w:b w:val="0"/>
          <w:i w:val="0"/>
          <w:color w:val="000000"/>
          <w:sz w:val="22"/>
        </w:rPr>
        <w:t>2. 系统定位与应用场景</w:t>
      </w:r>
    </w:p>
    <w:p>
      <w:pPr>
        <w:pStyle w:val="ListBullet"/>
        <w:spacing w:after="80" w:line="300" w:lineRule="auto"/>
      </w:pPr>
      <w:r>
        <w:rPr>
          <w:rFonts w:ascii="Calibri" w:hAnsi="Calibri" w:eastAsia="Microsoft YaHei"/>
          <w:b w:val="0"/>
          <w:i w:val="0"/>
          <w:color w:val="000000"/>
          <w:sz w:val="22"/>
        </w:rPr>
        <w:t>3. 角色、权限与数据范围</w:t>
      </w:r>
    </w:p>
    <w:p>
      <w:pPr>
        <w:pStyle w:val="ListBullet"/>
        <w:spacing w:after="80" w:line="300" w:lineRule="auto"/>
      </w:pPr>
      <w:r>
        <w:rPr>
          <w:rFonts w:ascii="Calibri" w:hAnsi="Calibri" w:eastAsia="Microsoft YaHei"/>
          <w:b w:val="0"/>
          <w:i w:val="0"/>
          <w:color w:val="000000"/>
          <w:sz w:val="22"/>
        </w:rPr>
        <w:t>4. 信息架构与核心流程</w:t>
      </w:r>
    </w:p>
    <w:p>
      <w:pPr>
        <w:pStyle w:val="ListBullet"/>
        <w:spacing w:after="80" w:line="300" w:lineRule="auto"/>
      </w:pPr>
      <w:r>
        <w:rPr>
          <w:rFonts w:ascii="Calibri" w:hAnsi="Calibri" w:eastAsia="Microsoft YaHei"/>
          <w:b w:val="0"/>
          <w:i w:val="0"/>
          <w:color w:val="000000"/>
          <w:sz w:val="22"/>
        </w:rPr>
        <w:t>5. 工作台</w:t>
      </w:r>
    </w:p>
    <w:p>
      <w:pPr>
        <w:pStyle w:val="ListBullet"/>
        <w:spacing w:after="80" w:line="300" w:lineRule="auto"/>
      </w:pPr>
      <w:r>
        <w:rPr>
          <w:rFonts w:ascii="Calibri" w:hAnsi="Calibri" w:eastAsia="Microsoft YaHei"/>
          <w:b w:val="0"/>
          <w:i w:val="0"/>
          <w:color w:val="000000"/>
          <w:sz w:val="22"/>
        </w:rPr>
        <w:t>6. 代理商管理</w:t>
      </w:r>
    </w:p>
    <w:p>
      <w:pPr>
        <w:pStyle w:val="ListBullet"/>
        <w:spacing w:after="80" w:line="300" w:lineRule="auto"/>
      </w:pPr>
      <w:r>
        <w:rPr>
          <w:rFonts w:ascii="Calibri" w:hAnsi="Calibri" w:eastAsia="Microsoft YaHei"/>
          <w:b w:val="0"/>
          <w:i w:val="0"/>
          <w:color w:val="000000"/>
          <w:sz w:val="22"/>
        </w:rPr>
        <w:t>7. 商户主档</w:t>
      </w:r>
    </w:p>
    <w:p>
      <w:pPr>
        <w:pStyle w:val="ListBullet"/>
        <w:spacing w:after="80" w:line="300" w:lineRule="auto"/>
      </w:pPr>
      <w:r>
        <w:rPr>
          <w:rFonts w:ascii="Calibri" w:hAnsi="Calibri" w:eastAsia="Microsoft YaHei"/>
          <w:b w:val="0"/>
          <w:i w:val="0"/>
          <w:color w:val="000000"/>
          <w:sz w:val="22"/>
        </w:rPr>
        <w:t>8. 渠道进件与 KYC</w:t>
      </w:r>
    </w:p>
    <w:p>
      <w:pPr>
        <w:pStyle w:val="ListBullet"/>
        <w:spacing w:after="80" w:line="300" w:lineRule="auto"/>
      </w:pPr>
      <w:r>
        <w:rPr>
          <w:rFonts w:ascii="Calibri" w:hAnsi="Calibri" w:eastAsia="Microsoft YaHei"/>
          <w:b w:val="0"/>
          <w:i w:val="0"/>
          <w:color w:val="000000"/>
          <w:sz w:val="22"/>
        </w:rPr>
        <w:t>9. 进件审核与修订</w:t>
      </w:r>
    </w:p>
    <w:p>
      <w:pPr>
        <w:pStyle w:val="ListBullet"/>
        <w:spacing w:after="80" w:line="300" w:lineRule="auto"/>
      </w:pPr>
      <w:r>
        <w:rPr>
          <w:rFonts w:ascii="Calibri" w:hAnsi="Calibri" w:eastAsia="Microsoft YaHei"/>
          <w:b w:val="0"/>
          <w:i w:val="0"/>
          <w:color w:val="000000"/>
          <w:sz w:val="22"/>
        </w:rPr>
        <w:t>10. 商户调额</w:t>
      </w:r>
    </w:p>
    <w:p>
      <w:pPr>
        <w:pStyle w:val="ListBullet"/>
        <w:spacing w:after="80" w:line="300" w:lineRule="auto"/>
      </w:pPr>
      <w:r>
        <w:rPr>
          <w:rFonts w:ascii="Calibri" w:hAnsi="Calibri" w:eastAsia="Microsoft YaHei"/>
          <w:b w:val="0"/>
          <w:i w:val="0"/>
          <w:color w:val="000000"/>
          <w:sz w:val="22"/>
        </w:rPr>
        <w:t>11. 分账白名单</w:t>
      </w:r>
    </w:p>
    <w:p>
      <w:pPr>
        <w:pStyle w:val="ListBullet"/>
        <w:spacing w:after="80" w:line="300" w:lineRule="auto"/>
      </w:pPr>
      <w:r>
        <w:rPr>
          <w:rFonts w:ascii="Calibri" w:hAnsi="Calibri" w:eastAsia="Microsoft YaHei"/>
          <w:b w:val="0"/>
          <w:i w:val="0"/>
          <w:color w:val="000000"/>
          <w:sz w:val="22"/>
        </w:rPr>
        <w:t>12. 出金管理</w:t>
      </w:r>
    </w:p>
    <w:p>
      <w:pPr>
        <w:pStyle w:val="ListBullet"/>
        <w:spacing w:after="80" w:line="300" w:lineRule="auto"/>
      </w:pPr>
      <w:r>
        <w:rPr>
          <w:rFonts w:ascii="Calibri" w:hAnsi="Calibri" w:eastAsia="Microsoft YaHei"/>
          <w:b w:val="0"/>
          <w:i w:val="0"/>
          <w:color w:val="000000"/>
          <w:sz w:val="22"/>
        </w:rPr>
        <w:t>13. 交易订单</w:t>
      </w:r>
    </w:p>
    <w:p>
      <w:pPr>
        <w:pStyle w:val="ListBullet"/>
        <w:spacing w:after="80" w:line="300" w:lineRule="auto"/>
      </w:pPr>
      <w:r>
        <w:rPr>
          <w:rFonts w:ascii="Calibri" w:hAnsi="Calibri" w:eastAsia="Microsoft YaHei"/>
          <w:b w:val="0"/>
          <w:i w:val="0"/>
          <w:color w:val="000000"/>
          <w:sz w:val="22"/>
        </w:rPr>
        <w:t>14. 统计报表</w:t>
      </w:r>
    </w:p>
    <w:p>
      <w:pPr>
        <w:pStyle w:val="ListBullet"/>
        <w:spacing w:after="80" w:line="300" w:lineRule="auto"/>
      </w:pPr>
      <w:r>
        <w:rPr>
          <w:rFonts w:ascii="Calibri" w:hAnsi="Calibri" w:eastAsia="Microsoft YaHei"/>
          <w:b w:val="0"/>
          <w:i w:val="0"/>
          <w:color w:val="000000"/>
          <w:sz w:val="22"/>
        </w:rPr>
        <w:t>15. 代金券营销</w:t>
      </w:r>
    </w:p>
    <w:p>
      <w:pPr>
        <w:pStyle w:val="ListBullet"/>
        <w:spacing w:after="80" w:line="300" w:lineRule="auto"/>
      </w:pPr>
      <w:r>
        <w:rPr>
          <w:rFonts w:ascii="Calibri" w:hAnsi="Calibri" w:eastAsia="Microsoft YaHei"/>
          <w:b w:val="0"/>
          <w:i w:val="0"/>
          <w:color w:val="000000"/>
          <w:sz w:val="22"/>
        </w:rPr>
        <w:t>16. 个人中心与账户安全</w:t>
      </w:r>
    </w:p>
    <w:p>
      <w:pPr>
        <w:pStyle w:val="ListBullet"/>
        <w:spacing w:after="80" w:line="300" w:lineRule="auto"/>
      </w:pPr>
      <w:r>
        <w:rPr>
          <w:rFonts w:ascii="Calibri" w:hAnsi="Calibri" w:eastAsia="Microsoft YaHei"/>
          <w:b w:val="0"/>
          <w:i w:val="0"/>
          <w:color w:val="000000"/>
          <w:sz w:val="22"/>
        </w:rPr>
        <w:t>17. 状态机</w:t>
      </w:r>
    </w:p>
    <w:p>
      <w:pPr>
        <w:pStyle w:val="ListBullet"/>
        <w:spacing w:after="80" w:line="300" w:lineRule="auto"/>
      </w:pPr>
      <w:r>
        <w:rPr>
          <w:rFonts w:ascii="Calibri" w:hAnsi="Calibri" w:eastAsia="Microsoft YaHei"/>
          <w:b w:val="0"/>
          <w:i w:val="0"/>
          <w:color w:val="000000"/>
          <w:sz w:val="22"/>
        </w:rPr>
        <w:t>18. 数据实体与集成</w:t>
      </w:r>
    </w:p>
    <w:p>
      <w:pPr>
        <w:pStyle w:val="ListBullet"/>
        <w:spacing w:after="80" w:line="300" w:lineRule="auto"/>
      </w:pPr>
      <w:r>
        <w:rPr>
          <w:rFonts w:ascii="Calibri" w:hAnsi="Calibri" w:eastAsia="Microsoft YaHei"/>
          <w:b w:val="0"/>
          <w:i w:val="0"/>
          <w:color w:val="000000"/>
          <w:sz w:val="22"/>
        </w:rPr>
        <w:t>19. 非功能需求</w:t>
      </w:r>
    </w:p>
    <w:p>
      <w:pPr>
        <w:pStyle w:val="ListBullet"/>
        <w:spacing w:after="80" w:line="300" w:lineRule="auto"/>
      </w:pPr>
      <w:r>
        <w:rPr>
          <w:rFonts w:ascii="Calibri" w:hAnsi="Calibri" w:eastAsia="Microsoft YaHei"/>
          <w:b w:val="0"/>
          <w:i w:val="0"/>
          <w:color w:val="000000"/>
          <w:sz w:val="22"/>
        </w:rPr>
        <w:t>20. 验收标准</w:t>
      </w:r>
    </w:p>
    <w:p>
      <w:pPr>
        <w:pStyle w:val="ListBullet"/>
        <w:spacing w:after="80" w:line="300" w:lineRule="auto"/>
      </w:pPr>
      <w:r>
        <w:rPr>
          <w:rFonts w:ascii="Calibri" w:hAnsi="Calibri" w:eastAsia="Microsoft YaHei"/>
          <w:b w:val="0"/>
          <w:i w:val="0"/>
          <w:color w:val="000000"/>
          <w:sz w:val="22"/>
        </w:rPr>
        <w:t>21. 风险、缺口与实施优先级</w:t>
      </w:r>
    </w:p>
    <w:p>
      <w:pPr>
        <w:pStyle w:val="ListBullet"/>
        <w:spacing w:after="80" w:line="300" w:lineRule="auto"/>
      </w:pPr>
      <w:r>
        <w:rPr>
          <w:rFonts w:ascii="Calibri" w:hAnsi="Calibri" w:eastAsia="Microsoft YaHei"/>
          <w:b w:val="0"/>
          <w:i w:val="0"/>
          <w:color w:val="000000"/>
          <w:sz w:val="22"/>
        </w:rPr>
        <w:t>附录 A. 安全截图参考</w:t>
      </w:r>
    </w:p>
    <w:p>
      <w:pPr>
        <w:pStyle w:val="ListBullet"/>
        <w:spacing w:after="80" w:line="300" w:lineRule="auto"/>
      </w:pPr>
      <w:r>
        <w:rPr>
          <w:rFonts w:ascii="Calibri" w:hAnsi="Calibri" w:eastAsia="Microsoft YaHei"/>
          <w:b w:val="0"/>
          <w:i w:val="0"/>
          <w:color w:val="000000"/>
          <w:sz w:val="22"/>
        </w:rPr>
        <w:t>附录 B. 待确认业务规则</w:t>
      </w:r>
    </w:p>
    <w:p>
      <w:r>
        <w:br w:type="page"/>
      </w:r>
    </w:p>
    <w:p>
      <w:pPr>
        <w:pStyle w:val="Heading1"/>
        <w:keepNext/>
      </w:pPr>
      <w:r>
        <w:t>1  文档目的与范围</w:t>
      </w:r>
    </w:p>
    <w:p>
      <w:pPr>
        <w:spacing w:before="0" w:after="120" w:line="300" w:lineRule="auto"/>
        <w:jc w:val="left"/>
      </w:pPr>
      <w:r>
        <w:rPr>
          <w:rFonts w:ascii="Calibri" w:hAnsi="Calibri" w:eastAsia="Microsoft YaHei"/>
          <w:b w:val="0"/>
          <w:i w:val="0"/>
          <w:color w:val="000000"/>
          <w:sz w:val="22"/>
        </w:rPr>
        <w:t>本文定义支付代理商管理系统的业务目标、角色边界、功能行为、关键数据、状态流转、安全控制和验收标准，作为产品评审、系统设计、研发拆分、测试设计及上线验收的共同基线。</w:t>
      </w:r>
    </w:p>
    <w:p>
      <w:pPr>
        <w:pStyle w:val="Heading2"/>
        <w:keepNext/>
      </w:pPr>
      <w:r>
        <w:t>1.1  范围内</w:t>
      </w:r>
    </w:p>
    <w:p>
      <w:pPr>
        <w:pStyle w:val="ListBullet"/>
        <w:spacing w:after="80" w:line="300" w:lineRule="auto"/>
      </w:pPr>
      <w:r>
        <w:rPr>
          <w:rFonts w:ascii="Calibri" w:hAnsi="Calibri" w:eastAsia="Microsoft YaHei"/>
          <w:b w:val="0"/>
          <w:i w:val="0"/>
          <w:color w:val="000000"/>
          <w:sz w:val="22"/>
        </w:rPr>
        <w:t>代理商层级、推广、费率、商户预设与账号生命周期。</w:t>
      </w:r>
    </w:p>
    <w:p>
      <w:pPr>
        <w:pStyle w:val="ListBullet"/>
        <w:spacing w:after="80" w:line="300" w:lineRule="auto"/>
      </w:pPr>
      <w:r>
        <w:rPr>
          <w:rFonts w:ascii="Calibri" w:hAnsi="Calibri" w:eastAsia="Microsoft YaHei"/>
          <w:b w:val="0"/>
          <w:i w:val="0"/>
          <w:color w:val="000000"/>
          <w:sz w:val="22"/>
        </w:rPr>
        <w:t>商户主档、渠道进件、KYC 资料、结算账户、经营平台证明。</w:t>
      </w:r>
    </w:p>
    <w:p>
      <w:pPr>
        <w:pStyle w:val="ListBullet"/>
        <w:spacing w:after="80" w:line="300" w:lineRule="auto"/>
      </w:pPr>
      <w:r>
        <w:rPr>
          <w:rFonts w:ascii="Calibri" w:hAnsi="Calibri" w:eastAsia="Microsoft YaHei"/>
          <w:b w:val="0"/>
          <w:i w:val="0"/>
          <w:color w:val="000000"/>
          <w:sz w:val="22"/>
        </w:rPr>
        <w:t>AI/人工审核、补件、修订对比、渠道状态跟踪与商户调额。</w:t>
      </w:r>
    </w:p>
    <w:p>
      <w:pPr>
        <w:pStyle w:val="ListBullet"/>
        <w:spacing w:after="80" w:line="300" w:lineRule="auto"/>
      </w:pPr>
      <w:r>
        <w:rPr>
          <w:rFonts w:ascii="Calibri" w:hAnsi="Calibri" w:eastAsia="Microsoft YaHei"/>
          <w:b w:val="0"/>
          <w:i w:val="0"/>
          <w:color w:val="000000"/>
          <w:sz w:val="22"/>
        </w:rPr>
        <w:t>分账白名单、入金订单、出金明细、手续费、分润和代金券。</w:t>
      </w:r>
    </w:p>
    <w:p>
      <w:pPr>
        <w:pStyle w:val="ListBullet"/>
        <w:spacing w:after="80" w:line="300" w:lineRule="auto"/>
      </w:pPr>
      <w:r>
        <w:rPr>
          <w:rFonts w:ascii="Calibri" w:hAnsi="Calibri" w:eastAsia="Microsoft YaHei"/>
          <w:b w:val="0"/>
          <w:i w:val="0"/>
          <w:color w:val="000000"/>
          <w:sz w:val="22"/>
        </w:rPr>
        <w:t>商户/代理日报月报、导出边界、个人资料与安全认证。</w:t>
      </w:r>
    </w:p>
    <w:p>
      <w:pPr>
        <w:pStyle w:val="Heading2"/>
        <w:keepNext/>
      </w:pPr>
      <w:r>
        <w:t>1.2  暂不在当前现状证明范围</w:t>
      </w:r>
    </w:p>
    <w:p>
      <w:pPr>
        <w:pStyle w:val="ListBullet"/>
        <w:spacing w:after="80" w:line="300" w:lineRule="auto"/>
      </w:pPr>
      <w:r>
        <w:rPr>
          <w:rFonts w:ascii="Calibri" w:hAnsi="Calibri" w:eastAsia="Microsoft YaHei"/>
          <w:b w:val="0"/>
          <w:i w:val="0"/>
          <w:color w:val="000000"/>
          <w:sz w:val="22"/>
        </w:rPr>
        <w:t>真实提交后的服务端校验、渠道调用和资金记账结果。</w:t>
      </w:r>
    </w:p>
    <w:p>
      <w:pPr>
        <w:pStyle w:val="ListBullet"/>
        <w:spacing w:after="80" w:line="300" w:lineRule="auto"/>
      </w:pPr>
      <w:r>
        <w:rPr>
          <w:rFonts w:ascii="Calibri" w:hAnsi="Calibri" w:eastAsia="Microsoft YaHei"/>
          <w:b w:val="0"/>
          <w:i w:val="0"/>
          <w:color w:val="000000"/>
          <w:sz w:val="22"/>
        </w:rPr>
        <w:t>平台运营后台、商户后台、渠道后台及移动端的完整能力。</w:t>
      </w:r>
    </w:p>
    <w:p>
      <w:pPr>
        <w:pStyle w:val="ListBullet"/>
        <w:spacing w:after="80" w:line="300" w:lineRule="auto"/>
      </w:pPr>
      <w:r>
        <w:rPr>
          <w:rFonts w:ascii="Calibri" w:hAnsi="Calibri" w:eastAsia="Microsoft YaHei"/>
          <w:b w:val="0"/>
          <w:i w:val="0"/>
          <w:color w:val="000000"/>
          <w:sz w:val="22"/>
        </w:rPr>
        <w:t>退款、拒付、争议、日终差错、发票和监管报送的完整实现。</w:t>
      </w:r>
    </w:p>
    <w:p>
      <w:pPr>
        <w:pStyle w:val="ListBullet"/>
        <w:spacing w:after="80" w:line="300" w:lineRule="auto"/>
      </w:pPr>
      <w:r>
        <w:rPr>
          <w:rFonts w:ascii="Calibri" w:hAnsi="Calibri" w:eastAsia="Microsoft YaHei"/>
          <w:b w:val="0"/>
          <w:i w:val="0"/>
          <w:color w:val="000000"/>
          <w:sz w:val="22"/>
        </w:rPr>
        <w:t>容量、并发、灾备和安全攻防结果；本文仅提出目标要求。</w:t>
      </w:r>
    </w:p>
    <w:p>
      <w:pPr>
        <w:pStyle w:val="Heading1"/>
        <w:keepNext/>
      </w:pPr>
      <w:r>
        <w:t>2  系统定位与应用场景</w:t>
      </w:r>
    </w:p>
    <w:p>
      <w:pPr>
        <w:keepLines/>
        <w:spacing w:before="80" w:after="160" w:line="276" w:lineRule="auto"/>
        <w:shd w:fill="E8EEF5"/>
        <w:pBdr>
          <w:left w:val="single" w:sz="18" w:space="8" w:color="1F4D78"/>
        </w:pBdr>
      </w:pPr>
      <w:r>
        <w:rPr>
          <w:rFonts w:ascii="Calibri" w:hAnsi="Calibri" w:eastAsia="Microsoft YaHei"/>
          <w:b/>
          <w:i w:val="0"/>
          <w:color w:val="1F4D78"/>
          <w:sz w:val="21"/>
        </w:rPr>
        <w:t>系统定位</w:t>
        <w:br/>
      </w:r>
      <w:r>
        <w:rPr>
          <w:rFonts w:ascii="Calibri" w:hAnsi="Calibri" w:eastAsia="Microsoft YaHei"/>
          <w:b w:val="0"/>
          <w:i w:val="0"/>
          <w:color w:val="000000"/>
          <w:sz w:val="20"/>
        </w:rPr>
        <w:t>面向支付服务商及其代理网络的商户拓展、渠道入网、资金运营与经营分析平台。核心不是客户关系记录，而是连接代理层级、商户 KYC、银行渠道、交易资金和分润规则的业务操作中枢。</w:t>
      </w:r>
    </w:p>
    <w:tbl>
      <w:tblPr>
        <w:tblW w:type="dxa" w:w="9360"/>
        <w:jc w:val="left"/>
        <w:tblLayout w:type="fixed"/>
        <w:tblLook w:firstColumn="1" w:firstRow="1" w:lastColumn="0" w:lastRow="0" w:noHBand="0" w:noVBand="1" w:val="04A0"/>
        <w:tblInd w:type="dxa" w:w="120"/>
      </w:tblPr>
      <w:tblGrid>
        <w:gridCol w:w="1000"/>
        <w:gridCol w:w="2200"/>
        <w:gridCol w:w="6160"/>
      </w:tblGrid>
      <w:tr>
        <w:trPr>
          <w:tblHeader w:val="true"/>
        </w:trPr>
        <w:tc>
          <w:tcPr>
            <w:tcW w:type="dxa" w:w="100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8"/>
              </w:rPr>
              <w:t>编号</w:t>
            </w:r>
          </w:p>
        </w:tc>
        <w:tc>
          <w:tcPr>
            <w:tcW w:type="dxa" w:w="220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8"/>
              </w:rPr>
              <w:t>应用场景</w:t>
            </w:r>
          </w:p>
        </w:tc>
        <w:tc>
          <w:tcPr>
            <w:tcW w:type="dxa" w:w="616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8"/>
              </w:rPr>
              <w:t>场景描述</w:t>
            </w:r>
          </w:p>
        </w:tc>
      </w:tr>
      <w:tr>
        <w:trPr>
          <w:cantSplit/>
        </w:trPr>
        <w:tc>
          <w:tcPr>
            <w:tcW w:type="dxa" w:w="10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SC-01</w:t>
            </w:r>
          </w:p>
        </w:tc>
        <w:tc>
          <w:tcPr>
            <w:tcW w:type="dxa" w:w="22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代理网络拓展</w:t>
            </w:r>
          </w:p>
        </w:tc>
        <w:tc>
          <w:tcPr>
            <w:tcW w:type="dxa" w:w="61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一级代理创建下级代理、生成推广码并设置费率与商户默认策略。</w:t>
            </w:r>
          </w:p>
        </w:tc>
      </w:tr>
      <w:tr>
        <w:trPr>
          <w:cantSplit/>
        </w:trPr>
        <w:tc>
          <w:tcPr>
            <w:tcW w:type="dxa" w:w="10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SC-02</w:t>
            </w:r>
          </w:p>
        </w:tc>
        <w:tc>
          <w:tcPr>
            <w:tcW w:type="dxa" w:w="22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商户批量入网</w:t>
            </w:r>
          </w:p>
        </w:tc>
        <w:tc>
          <w:tcPr>
            <w:tcW w:type="dxa" w:w="61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代理创建商户主档，复用既有材料，向多家银行或支付渠道提交进件。</w:t>
            </w:r>
          </w:p>
        </w:tc>
      </w:tr>
      <w:tr>
        <w:trPr>
          <w:cantSplit/>
        </w:trPr>
        <w:tc>
          <w:tcPr>
            <w:tcW w:type="dxa" w:w="10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SC-03</w:t>
            </w:r>
          </w:p>
        </w:tc>
        <w:tc>
          <w:tcPr>
            <w:tcW w:type="dxa" w:w="22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KYC 与风控审核</w:t>
            </w:r>
          </w:p>
        </w:tc>
        <w:tc>
          <w:tcPr>
            <w:tcW w:type="dxa" w:w="61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系统采集主体、法人、经办人、受益人、股东及经营证明，结合 AI 与人工审核。</w:t>
            </w:r>
          </w:p>
        </w:tc>
      </w:tr>
      <w:tr>
        <w:trPr>
          <w:cantSplit/>
        </w:trPr>
        <w:tc>
          <w:tcPr>
            <w:tcW w:type="dxa" w:w="10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SC-04</w:t>
            </w:r>
          </w:p>
        </w:tc>
        <w:tc>
          <w:tcPr>
            <w:tcW w:type="dxa" w:w="22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交易资金运营</w:t>
            </w:r>
          </w:p>
        </w:tc>
        <w:tc>
          <w:tcPr>
            <w:tcW w:type="dxa" w:w="61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跟踪入金、手续费、分账白名单、出金复核和渠道结果。</w:t>
            </w:r>
          </w:p>
        </w:tc>
      </w:tr>
      <w:tr>
        <w:trPr>
          <w:cantSplit/>
        </w:trPr>
        <w:tc>
          <w:tcPr>
            <w:tcW w:type="dxa" w:w="10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SC-05</w:t>
            </w:r>
          </w:p>
        </w:tc>
        <w:tc>
          <w:tcPr>
            <w:tcW w:type="dxa" w:w="22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代理经营分析</w:t>
            </w:r>
          </w:p>
        </w:tc>
        <w:tc>
          <w:tcPr>
            <w:tcW w:type="dxa" w:w="61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按商户、代理、渠道、日/月维度汇总交易、入账、手续费和退款。</w:t>
            </w:r>
          </w:p>
        </w:tc>
      </w:tr>
      <w:tr>
        <w:trPr>
          <w:cantSplit/>
        </w:trPr>
        <w:tc>
          <w:tcPr>
            <w:tcW w:type="dxa" w:w="10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SC-06</w:t>
            </w:r>
          </w:p>
        </w:tc>
        <w:tc>
          <w:tcPr>
            <w:tcW w:type="dxa" w:w="22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营销补贴</w:t>
            </w:r>
          </w:p>
        </w:tc>
        <w:tc>
          <w:tcPr>
            <w:tcW w:type="dxa" w:w="61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通过代金券抵扣相关业务费用并跟踪余额、核销和有效期。</w:t>
            </w:r>
          </w:p>
        </w:tc>
      </w:tr>
    </w:tbl>
    <w:p>
      <w:pPr>
        <w:spacing w:after="40"/>
      </w:pPr>
    </w:p>
    <w:p>
      <w:pPr>
        <w:pStyle w:val="Heading1"/>
        <w:keepNext/>
      </w:pPr>
      <w:r>
        <w:t>3  角色、权限与数据范围</w:t>
      </w:r>
    </w:p>
    <w:tbl>
      <w:tblPr>
        <w:tblW w:type="dxa" w:w="9360"/>
        <w:jc w:val="left"/>
        <w:tblLayout w:type="fixed"/>
        <w:tblLook w:firstColumn="1" w:firstRow="1" w:lastColumn="0" w:lastRow="0" w:noHBand="0" w:noVBand="1" w:val="04A0"/>
        <w:tblInd w:type="dxa" w:w="120"/>
      </w:tblPr>
      <w:tblGrid>
        <w:gridCol w:w="1500"/>
        <w:gridCol w:w="3000"/>
        <w:gridCol w:w="2000"/>
        <w:gridCol w:w="2860"/>
      </w:tblGrid>
      <w:tr>
        <w:trPr>
          <w:tblHeader w:val="true"/>
        </w:trPr>
        <w:tc>
          <w:tcPr>
            <w:tcW w:type="dxa" w:w="150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角色</w:t>
            </w:r>
          </w:p>
        </w:tc>
        <w:tc>
          <w:tcPr>
            <w:tcW w:type="dxa" w:w="300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主要职责</w:t>
            </w:r>
          </w:p>
        </w:tc>
        <w:tc>
          <w:tcPr>
            <w:tcW w:type="dxa" w:w="200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数据范围</w:t>
            </w:r>
          </w:p>
        </w:tc>
        <w:tc>
          <w:tcPr>
            <w:tcW w:type="dxa" w:w="286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职责约束</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平台运营</w:t>
            </w:r>
          </w:p>
        </w:tc>
        <w:tc>
          <w:tcPr>
            <w:tcW w:type="dxa" w:w="30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渠道、产品、代理政策与全局配置</w:t>
            </w:r>
          </w:p>
        </w:tc>
        <w:tc>
          <w:tcPr>
            <w:tcW w:type="dxa" w:w="20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全局或授权区域</w:t>
            </w:r>
          </w:p>
        </w:tc>
        <w:tc>
          <w:tcPr>
            <w:tcW w:type="dxa" w:w="28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原则上不得直接经办资金</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上级代理管理员</w:t>
            </w:r>
          </w:p>
        </w:tc>
        <w:tc>
          <w:tcPr>
            <w:tcW w:type="dxa" w:w="30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下级代理、费率、商户和经营数据</w:t>
            </w:r>
          </w:p>
        </w:tc>
        <w:tc>
          <w:tcPr>
            <w:tcW w:type="dxa" w:w="20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本人及授权后代</w:t>
            </w:r>
          </w:p>
        </w:tc>
        <w:tc>
          <w:tcPr>
            <w:tcW w:type="dxa" w:w="28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下级费率不得突破上级边界</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代理运营</w:t>
            </w:r>
          </w:p>
        </w:tc>
        <w:tc>
          <w:tcPr>
            <w:tcW w:type="dxa" w:w="30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商户建档、资料维护、渠道进件</w:t>
            </w:r>
          </w:p>
        </w:tc>
        <w:tc>
          <w:tcPr>
            <w:tcW w:type="dxa" w:w="20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所属代理体系</w:t>
            </w:r>
          </w:p>
        </w:tc>
        <w:tc>
          <w:tcPr>
            <w:tcW w:type="dxa" w:w="28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不得审核本人提交的进件</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风控审核</w:t>
            </w:r>
          </w:p>
        </w:tc>
        <w:tc>
          <w:tcPr>
            <w:tcW w:type="dxa" w:w="30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KYC、AI 风险项、补件和审核</w:t>
            </w:r>
          </w:p>
        </w:tc>
        <w:tc>
          <w:tcPr>
            <w:tcW w:type="dxa" w:w="20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被分配或授权范围</w:t>
            </w:r>
          </w:p>
        </w:tc>
        <w:tc>
          <w:tcPr>
            <w:tcW w:type="dxa" w:w="28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审核与资料修改职责分离</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财务经办</w:t>
            </w:r>
          </w:p>
        </w:tc>
        <w:tc>
          <w:tcPr>
            <w:tcW w:type="dxa" w:w="30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白名单、出金、对账和报表</w:t>
            </w:r>
          </w:p>
        </w:tc>
        <w:tc>
          <w:tcPr>
            <w:tcW w:type="dxa" w:w="20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授权账户与组织</w:t>
            </w:r>
          </w:p>
        </w:tc>
        <w:tc>
          <w:tcPr>
            <w:tcW w:type="dxa" w:w="28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关键资金动作需复核</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财务复核</w:t>
            </w:r>
          </w:p>
        </w:tc>
        <w:tc>
          <w:tcPr>
            <w:tcW w:type="dxa" w:w="30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复核出金和关键账户变更</w:t>
            </w:r>
          </w:p>
        </w:tc>
        <w:tc>
          <w:tcPr>
            <w:tcW w:type="dxa" w:w="20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待复核队列</w:t>
            </w:r>
          </w:p>
        </w:tc>
        <w:tc>
          <w:tcPr>
            <w:tcW w:type="dxa" w:w="28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不得与经办人为同一账号</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商户操作员</w:t>
            </w:r>
          </w:p>
        </w:tc>
        <w:tc>
          <w:tcPr>
            <w:tcW w:type="dxa" w:w="30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本商户业务查询与操作</w:t>
            </w:r>
          </w:p>
        </w:tc>
        <w:tc>
          <w:tcPr>
            <w:tcW w:type="dxa" w:w="20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单商户</w:t>
            </w:r>
          </w:p>
        </w:tc>
        <w:tc>
          <w:tcPr>
            <w:tcW w:type="dxa" w:w="28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不可跨商户访问</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商户复核员</w:t>
            </w:r>
          </w:p>
        </w:tc>
        <w:tc>
          <w:tcPr>
            <w:tcW w:type="dxa" w:w="30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签约、短信验证和关键复核</w:t>
            </w:r>
          </w:p>
        </w:tc>
        <w:tc>
          <w:tcPr>
            <w:tcW w:type="dxa" w:w="20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单商户</w:t>
            </w:r>
          </w:p>
        </w:tc>
        <w:tc>
          <w:tcPr>
            <w:tcW w:type="dxa" w:w="28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与操作员账号分离</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审计员</w:t>
            </w:r>
          </w:p>
        </w:tc>
        <w:tc>
          <w:tcPr>
            <w:tcW w:type="dxa" w:w="30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日志、版本和导出记录</w:t>
            </w:r>
          </w:p>
        </w:tc>
        <w:tc>
          <w:tcPr>
            <w:tcW w:type="dxa" w:w="20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只读授权范围</w:t>
            </w:r>
          </w:p>
        </w:tc>
        <w:tc>
          <w:tcPr>
            <w:tcW w:type="dxa" w:w="28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完整字段查看须独立授权</w:t>
            </w:r>
          </w:p>
        </w:tc>
      </w:tr>
    </w:tbl>
    <w:p>
      <w:pPr>
        <w:spacing w:after="40"/>
      </w:pPr>
    </w:p>
    <w:p>
      <w:pPr>
        <w:pStyle w:val="Heading2"/>
        <w:keepNext/>
      </w:pPr>
      <w:r>
        <w:t>3.1  权限模型要求</w:t>
      </w:r>
    </w:p>
    <w:p>
      <w:pPr>
        <w:pStyle w:val="ListBullet"/>
        <w:spacing w:after="80" w:line="300" w:lineRule="auto"/>
      </w:pPr>
      <w:r>
        <w:rPr>
          <w:rFonts w:ascii="Calibri" w:hAnsi="Calibri" w:eastAsia="Microsoft YaHei"/>
          <w:b w:val="0"/>
          <w:i w:val="0"/>
          <w:color w:val="000000"/>
          <w:sz w:val="22"/>
        </w:rPr>
        <w:t>采用菜单权限、按钮权限、字段权限、数据范围和操作复核五层授权模型。</w:t>
      </w:r>
    </w:p>
    <w:p>
      <w:pPr>
        <w:pStyle w:val="ListBullet"/>
        <w:spacing w:after="80" w:line="300" w:lineRule="auto"/>
      </w:pPr>
      <w:r>
        <w:rPr>
          <w:rFonts w:ascii="Calibri" w:hAnsi="Calibri" w:eastAsia="Microsoft YaHei"/>
          <w:b w:val="0"/>
          <w:i w:val="0"/>
          <w:color w:val="000000"/>
          <w:sz w:val="22"/>
        </w:rPr>
        <w:t>查询、查看完整敏感字段、导出、编辑、启停、审核和资金操作必须分别授权。</w:t>
      </w:r>
    </w:p>
    <w:p>
      <w:pPr>
        <w:pStyle w:val="ListBullet"/>
        <w:spacing w:after="80" w:line="300" w:lineRule="auto"/>
      </w:pPr>
      <w:r>
        <w:rPr>
          <w:rFonts w:ascii="Calibri" w:hAnsi="Calibri" w:eastAsia="Microsoft YaHei"/>
          <w:b w:val="0"/>
          <w:i w:val="0"/>
          <w:color w:val="000000"/>
          <w:sz w:val="22"/>
        </w:rPr>
        <w:t>直接修改 URL、请求参数、分页参数或导出参数时，服务端必须重新校验权限。</w:t>
      </w:r>
    </w:p>
    <w:p>
      <w:pPr>
        <w:pStyle w:val="ListBullet"/>
        <w:spacing w:after="80" w:line="300" w:lineRule="auto"/>
      </w:pPr>
      <w:r>
        <w:rPr>
          <w:rFonts w:ascii="Calibri" w:hAnsi="Calibri" w:eastAsia="Microsoft YaHei"/>
          <w:b w:val="0"/>
          <w:i w:val="0"/>
          <w:color w:val="000000"/>
          <w:sz w:val="22"/>
        </w:rPr>
        <w:t>账号停用、密码重置和重大权限变更后，相关存量会话必须按策略失效。</w:t>
      </w:r>
    </w:p>
    <w:p>
      <w:pPr>
        <w:pStyle w:val="Heading1"/>
        <w:keepNext/>
      </w:pPr>
      <w:r>
        <w:t>4  信息架构与核心流程</w:t>
      </w:r>
    </w:p>
    <w:tbl>
      <w:tblPr>
        <w:tblW w:type="dxa" w:w="9360"/>
        <w:jc w:val="left"/>
        <w:tblLayout w:type="fixed"/>
        <w:tblLook w:firstColumn="1" w:firstRow="1" w:lastColumn="0" w:lastRow="0" w:noHBand="0" w:noVBand="1" w:val="04A0"/>
        <w:tblInd w:type="dxa" w:w="120"/>
      </w:tblPr>
      <w:tblGrid>
        <w:gridCol w:w="1800"/>
        <w:gridCol w:w="4300"/>
        <w:gridCol w:w="3260"/>
      </w:tblGrid>
      <w:tr>
        <w:trPr>
          <w:tblHeader w:val="true"/>
        </w:trPr>
        <w:tc>
          <w:tcPr>
            <w:tcW w:type="dxa" w:w="180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8"/>
              </w:rPr>
              <w:t>一级模块</w:t>
            </w:r>
          </w:p>
        </w:tc>
        <w:tc>
          <w:tcPr>
            <w:tcW w:type="dxa" w:w="430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8"/>
              </w:rPr>
              <w:t>核心对象</w:t>
            </w:r>
          </w:p>
        </w:tc>
        <w:tc>
          <w:tcPr>
            <w:tcW w:type="dxa" w:w="326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8"/>
              </w:rPr>
              <w:t>业务价值</w:t>
            </w:r>
          </w:p>
        </w:tc>
      </w:tr>
      <w:tr>
        <w:trPr>
          <w:cantSplit/>
        </w:trPr>
        <w:tc>
          <w:tcPr>
            <w:tcW w:type="dxa" w:w="1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代理商管理</w:t>
            </w:r>
          </w:p>
        </w:tc>
        <w:tc>
          <w:tcPr>
            <w:tcW w:type="dxa" w:w="43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代理层级、账号、推广码、费率、商户预设</w:t>
            </w:r>
          </w:p>
        </w:tc>
        <w:tc>
          <w:tcPr>
            <w:tcW w:type="dxa" w:w="32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组织与分润策略</w:t>
            </w:r>
          </w:p>
        </w:tc>
      </w:tr>
      <w:tr>
        <w:trPr>
          <w:cantSplit/>
        </w:trPr>
        <w:tc>
          <w:tcPr>
            <w:tcW w:type="dxa" w:w="1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商户管理</w:t>
            </w:r>
          </w:p>
        </w:tc>
        <w:tc>
          <w:tcPr>
            <w:tcW w:type="dxa" w:w="43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商户主档、状态、渠道、调额</w:t>
            </w:r>
          </w:p>
        </w:tc>
        <w:tc>
          <w:tcPr>
            <w:tcW w:type="dxa" w:w="32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商户生命周期</w:t>
            </w:r>
          </w:p>
        </w:tc>
      </w:tr>
      <w:tr>
        <w:trPr>
          <w:cantSplit/>
        </w:trPr>
        <w:tc>
          <w:tcPr>
            <w:tcW w:type="dxa" w:w="1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渠道进件</w:t>
            </w:r>
          </w:p>
        </w:tc>
        <w:tc>
          <w:tcPr>
            <w:tcW w:type="dxa" w:w="43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证照、主体、结算、费率、经营证明</w:t>
            </w:r>
          </w:p>
        </w:tc>
        <w:tc>
          <w:tcPr>
            <w:tcW w:type="dxa" w:w="32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银行/支付渠道入网</w:t>
            </w:r>
          </w:p>
        </w:tc>
      </w:tr>
      <w:tr>
        <w:trPr>
          <w:cantSplit/>
        </w:trPr>
        <w:tc>
          <w:tcPr>
            <w:tcW w:type="dxa" w:w="1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审核管理</w:t>
            </w:r>
          </w:p>
        </w:tc>
        <w:tc>
          <w:tcPr>
            <w:tcW w:type="dxa" w:w="43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AI 结论、人工审核、补件、修订版本</w:t>
            </w:r>
          </w:p>
        </w:tc>
        <w:tc>
          <w:tcPr>
            <w:tcW w:type="dxa" w:w="32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KYC 风控闭环</w:t>
            </w:r>
          </w:p>
        </w:tc>
      </w:tr>
      <w:tr>
        <w:trPr>
          <w:cantSplit/>
        </w:trPr>
        <w:tc>
          <w:tcPr>
            <w:tcW w:type="dxa" w:w="1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账户管理</w:t>
            </w:r>
          </w:p>
        </w:tc>
        <w:tc>
          <w:tcPr>
            <w:tcW w:type="dxa" w:w="43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分账白名单、出金、收款账户</w:t>
            </w:r>
          </w:p>
        </w:tc>
        <w:tc>
          <w:tcPr>
            <w:tcW w:type="dxa" w:w="32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资金去向与复核</w:t>
            </w:r>
          </w:p>
        </w:tc>
      </w:tr>
      <w:tr>
        <w:trPr>
          <w:cantSplit/>
        </w:trPr>
        <w:tc>
          <w:tcPr>
            <w:tcW w:type="dxa" w:w="1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订单管理</w:t>
            </w:r>
          </w:p>
        </w:tc>
        <w:tc>
          <w:tcPr>
            <w:tcW w:type="dxa" w:w="43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入金订单、三方流水、通知状态</w:t>
            </w:r>
          </w:p>
        </w:tc>
        <w:tc>
          <w:tcPr>
            <w:tcW w:type="dxa" w:w="32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交易追踪</w:t>
            </w:r>
          </w:p>
        </w:tc>
      </w:tr>
      <w:tr>
        <w:trPr>
          <w:cantSplit/>
        </w:trPr>
        <w:tc>
          <w:tcPr>
            <w:tcW w:type="dxa" w:w="1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统计报表</w:t>
            </w:r>
          </w:p>
        </w:tc>
        <w:tc>
          <w:tcPr>
            <w:tcW w:type="dxa" w:w="43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商户/代理日报月报</w:t>
            </w:r>
          </w:p>
        </w:tc>
        <w:tc>
          <w:tcPr>
            <w:tcW w:type="dxa" w:w="32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经营与财务分析</w:t>
            </w:r>
          </w:p>
        </w:tc>
      </w:tr>
      <w:tr>
        <w:trPr>
          <w:cantSplit/>
        </w:trPr>
        <w:tc>
          <w:tcPr>
            <w:tcW w:type="dxa" w:w="1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营销管理</w:t>
            </w:r>
          </w:p>
        </w:tc>
        <w:tc>
          <w:tcPr>
            <w:tcW w:type="dxa" w:w="43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代金券下发、余额、核销、过期</w:t>
            </w:r>
          </w:p>
        </w:tc>
        <w:tc>
          <w:tcPr>
            <w:tcW w:type="dxa" w:w="32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费用补贴</w:t>
            </w:r>
          </w:p>
        </w:tc>
      </w:tr>
    </w:tbl>
    <w:p>
      <w:pPr>
        <w:spacing w:after="40"/>
      </w:pPr>
    </w:p>
    <w:p>
      <w:pPr>
        <w:pStyle w:val="Heading2"/>
        <w:keepNext/>
      </w:pPr>
      <w:r>
        <w:t>4.1  端到端主流程</w:t>
      </w:r>
    </w:p>
    <w:p>
      <w:pPr>
        <w:pStyle w:val="ListNumber"/>
        <w:spacing w:after="80" w:line="300" w:lineRule="auto"/>
      </w:pPr>
      <w:r>
        <w:rPr>
          <w:rFonts w:ascii="Calibri" w:hAnsi="Calibri" w:eastAsia="Microsoft YaHei"/>
          <w:b w:val="0"/>
          <w:i w:val="0"/>
          <w:color w:val="000000"/>
          <w:sz w:val="22"/>
        </w:rPr>
        <w:t>上级代理创建下级代理，设置渠道产品费率、分润比例及商户预设。</w:t>
      </w:r>
    </w:p>
    <w:p>
      <w:pPr>
        <w:pStyle w:val="ListNumber"/>
        <w:spacing w:after="80" w:line="300" w:lineRule="auto"/>
      </w:pPr>
      <w:r>
        <w:rPr>
          <w:rFonts w:ascii="Calibri" w:hAnsi="Calibri" w:eastAsia="Microsoft YaHei"/>
          <w:b w:val="0"/>
          <w:i w:val="0"/>
          <w:color w:val="000000"/>
          <w:sz w:val="22"/>
        </w:rPr>
        <w:t>代理创建商户主档，系统生成商户登录账号和复核账号。</w:t>
      </w:r>
    </w:p>
    <w:p>
      <w:pPr>
        <w:pStyle w:val="ListNumber"/>
        <w:spacing w:after="80" w:line="300" w:lineRule="auto"/>
      </w:pPr>
      <w:r>
        <w:rPr>
          <w:rFonts w:ascii="Calibri" w:hAnsi="Calibri" w:eastAsia="Microsoft YaHei"/>
          <w:b w:val="0"/>
          <w:i w:val="0"/>
          <w:color w:val="000000"/>
          <w:sz w:val="22"/>
        </w:rPr>
        <w:t>代理选择支付渠道，完成证照、主体、股东、结算账户、费率和经营材料。</w:t>
      </w:r>
    </w:p>
    <w:p>
      <w:pPr>
        <w:pStyle w:val="ListNumber"/>
        <w:spacing w:after="80" w:line="300" w:lineRule="auto"/>
      </w:pPr>
      <w:r>
        <w:rPr>
          <w:rFonts w:ascii="Calibri" w:hAnsi="Calibri" w:eastAsia="Microsoft YaHei"/>
          <w:b w:val="0"/>
          <w:i w:val="0"/>
          <w:color w:val="000000"/>
          <w:sz w:val="22"/>
        </w:rPr>
        <w:t>系统执行完整性校验并提交进件，AI 与人工审核形成独立结论。</w:t>
      </w:r>
    </w:p>
    <w:p>
      <w:pPr>
        <w:pStyle w:val="ListNumber"/>
        <w:spacing w:after="80" w:line="300" w:lineRule="auto"/>
      </w:pPr>
      <w:r>
        <w:rPr>
          <w:rFonts w:ascii="Calibri" w:hAnsi="Calibri" w:eastAsia="Microsoft YaHei"/>
          <w:b w:val="0"/>
          <w:i w:val="0"/>
          <w:color w:val="000000"/>
          <w:sz w:val="22"/>
        </w:rPr>
        <w:t>驳回或补件时生成新修订版本，审核人员查看修改前后差异。</w:t>
      </w:r>
    </w:p>
    <w:p>
      <w:pPr>
        <w:pStyle w:val="ListNumber"/>
        <w:spacing w:after="80" w:line="300" w:lineRule="auto"/>
      </w:pPr>
      <w:r>
        <w:rPr>
          <w:rFonts w:ascii="Calibri" w:hAnsi="Calibri" w:eastAsia="Microsoft YaHei"/>
          <w:b w:val="0"/>
          <w:i w:val="0"/>
          <w:color w:val="000000"/>
          <w:sz w:val="22"/>
        </w:rPr>
        <w:t>渠道依次返回报备、协议、绑卡、备付金开户和最终进件状态。</w:t>
      </w:r>
    </w:p>
    <w:p>
      <w:pPr>
        <w:pStyle w:val="ListNumber"/>
        <w:spacing w:after="80" w:line="300" w:lineRule="auto"/>
      </w:pPr>
      <w:r>
        <w:rPr>
          <w:rFonts w:ascii="Calibri" w:hAnsi="Calibri" w:eastAsia="Microsoft YaHei"/>
          <w:b w:val="0"/>
          <w:i w:val="0"/>
          <w:color w:val="000000"/>
          <w:sz w:val="22"/>
        </w:rPr>
        <w:t>进件成功后处理入金订单、分账白名单、出金复核和渠道结果。</w:t>
      </w:r>
    </w:p>
    <w:p>
      <w:pPr>
        <w:pStyle w:val="ListNumber"/>
        <w:spacing w:after="80" w:line="300" w:lineRule="auto"/>
      </w:pPr>
      <w:r>
        <w:rPr>
          <w:rFonts w:ascii="Calibri" w:hAnsi="Calibri" w:eastAsia="Microsoft YaHei"/>
          <w:b w:val="0"/>
          <w:i w:val="0"/>
          <w:color w:val="000000"/>
          <w:sz w:val="22"/>
        </w:rPr>
        <w:t>日报月报按代理、商户、渠道和支付方式汇总经营指标。</w:t>
      </w:r>
    </w:p>
    <w:p>
      <w:pPr>
        <w:pStyle w:val="Heading1"/>
        <w:keepNext/>
      </w:pPr>
      <w:r>
        <w:t>5  工作台</w:t>
      </w:r>
    </w:p>
    <w:p>
      <w:pPr>
        <w:spacing w:before="0" w:after="120" w:line="300" w:lineRule="auto"/>
        <w:jc w:val="left"/>
      </w:pPr>
      <w:r>
        <w:rPr>
          <w:rFonts w:ascii="Calibri" w:hAnsi="Calibri" w:eastAsia="Microsoft YaHei"/>
          <w:b w:val="0"/>
          <w:i w:val="0"/>
          <w:color w:val="000000"/>
          <w:sz w:val="22"/>
        </w:rPr>
        <w:t>为代理商提供登录后的经营概览、消息触达和个人任务入口。</w:t>
      </w:r>
    </w:p>
    <w:p>
      <w:pPr>
        <w:keepLines/>
        <w:spacing w:before="80" w:after="160" w:line="276" w:lineRule="auto"/>
        <w:shd w:fill="E8EEF5"/>
        <w:pBdr>
          <w:left w:val="single" w:sz="18" w:space="8" w:color="1F4D78"/>
        </w:pBdr>
      </w:pPr>
      <w:r>
        <w:rPr>
          <w:rFonts w:ascii="Calibri" w:hAnsi="Calibri" w:eastAsia="Microsoft YaHei"/>
          <w:b/>
          <w:i w:val="0"/>
          <w:color w:val="1F4D78"/>
          <w:sz w:val="21"/>
        </w:rPr>
        <w:t>探查结论</w:t>
        <w:br/>
      </w:r>
      <w:r>
        <w:rPr>
          <w:rFonts w:ascii="Calibri" w:hAnsi="Calibri" w:eastAsia="Microsoft YaHei"/>
          <w:b w:val="0"/>
          <w:i w:val="0"/>
          <w:color w:val="000000"/>
          <w:sz w:val="20"/>
        </w:rPr>
        <w:t>[已观察] 首页展示今日/昨日交易金额和笔数、普通消息、挂号消息、维护通知、个人中心及个人待办。</w:t>
      </w:r>
    </w:p>
    <w:p>
      <w:pPr>
        <w:pStyle w:val="Heading2"/>
        <w:keepNext/>
      </w:pPr>
      <w:r>
        <w:t>功能需求</w:t>
      </w:r>
    </w:p>
    <w:tbl>
      <w:tblPr>
        <w:tblW w:type="dxa" w:w="9360"/>
        <w:jc w:val="left"/>
        <w:tblLayout w:type="fixed"/>
        <w:tblLook w:firstColumn="1" w:firstRow="1" w:lastColumn="0" w:lastRow="0" w:noHBand="0" w:noVBand="1" w:val="04A0"/>
        <w:tblInd w:type="dxa" w:w="120"/>
      </w:tblPr>
      <w:tblGrid>
        <w:gridCol w:w="1120"/>
        <w:gridCol w:w="680"/>
        <w:gridCol w:w="4120"/>
        <w:gridCol w:w="3440"/>
      </w:tblGrid>
      <w:tr>
        <w:trPr>
          <w:tblHeader w:val="true"/>
        </w:trPr>
        <w:tc>
          <w:tcPr>
            <w:tcW w:type="dxa" w:w="112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需求 ID</w:t>
            </w:r>
          </w:p>
        </w:tc>
        <w:tc>
          <w:tcPr>
            <w:tcW w:type="dxa" w:w="68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优先级</w:t>
            </w:r>
          </w:p>
        </w:tc>
        <w:tc>
          <w:tcPr>
            <w:tcW w:type="dxa" w:w="412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功能需求</w:t>
            </w:r>
          </w:p>
        </w:tc>
        <w:tc>
          <w:tcPr>
            <w:tcW w:type="dxa" w:w="344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关键验收点</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FR-DASH-001</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展示今日与昨日交易金额、交易笔数。</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指标口径、权限范围和时区一致。</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FR-DASH-002</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P1</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展示普通消息、挂号消息和系统维护通知。</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消息支持已读状态、详情和分页。</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FR-DASH-003</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P1</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支持个人待办录入与完成状态管理。</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待办仅本人可见，刷新后保持。</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FR-DASH-004</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P1</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指标应显示最后更新时间并支持受控刷新。</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刷新失败不覆盖最近一次有效值。</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FR-DASH-005</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P2</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从指标和消息跳转到对应业务明细。</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跳转后自动带入适当筛选条件。</w:t>
            </w:r>
          </w:p>
        </w:tc>
      </w:tr>
    </w:tbl>
    <w:p>
      <w:pPr>
        <w:spacing w:after="40"/>
      </w:pPr>
    </w:p>
    <w:p>
      <w:pPr>
        <w:pStyle w:val="Heading2"/>
        <w:keepNext/>
      </w:pPr>
      <w:r>
        <w:t>业务规则</w:t>
      </w:r>
    </w:p>
    <w:p>
      <w:pPr>
        <w:pStyle w:val="ListBullet"/>
        <w:spacing w:after="80" w:line="300" w:lineRule="auto"/>
      </w:pPr>
      <w:r>
        <w:rPr>
          <w:rFonts w:ascii="Calibri" w:hAnsi="Calibri" w:eastAsia="Microsoft YaHei"/>
          <w:b w:val="0"/>
          <w:i w:val="0"/>
          <w:color w:val="000000"/>
          <w:sz w:val="22"/>
        </w:rPr>
        <w:t>今日/昨日边界使用系统统一业务时区。</w:t>
      </w:r>
    </w:p>
    <w:p>
      <w:pPr>
        <w:pStyle w:val="ListBullet"/>
        <w:spacing w:after="80" w:line="300" w:lineRule="auto"/>
      </w:pPr>
      <w:r>
        <w:rPr>
          <w:rFonts w:ascii="Calibri" w:hAnsi="Calibri" w:eastAsia="Microsoft YaHei"/>
          <w:b w:val="0"/>
          <w:i w:val="0"/>
          <w:color w:val="000000"/>
          <w:sz w:val="22"/>
        </w:rPr>
        <w:t>金额显示统一为两位小数，笔数为非负整数。</w:t>
      </w:r>
    </w:p>
    <w:p>
      <w:pPr>
        <w:pStyle w:val="Heading2"/>
        <w:keepNext/>
      </w:pPr>
      <w:r>
        <w:t>异常与边界</w:t>
      </w:r>
    </w:p>
    <w:p>
      <w:pPr>
        <w:pStyle w:val="ListBullet"/>
        <w:spacing w:after="80" w:line="300" w:lineRule="auto"/>
      </w:pPr>
      <w:r>
        <w:rPr>
          <w:rFonts w:ascii="Calibri" w:hAnsi="Calibri" w:eastAsia="Microsoft YaHei"/>
          <w:b w:val="0"/>
          <w:i w:val="0"/>
          <w:color w:val="000000"/>
          <w:sz w:val="22"/>
        </w:rPr>
        <w:t>接口超时显示明确空态或重试入口，不得把“0”与“加载失败”混淆。</w:t>
      </w:r>
    </w:p>
    <w:p>
      <w:pPr>
        <w:pStyle w:val="Heading1"/>
        <w:keepNext/>
      </w:pPr>
      <w:r>
        <w:t>6  代理商管理</w:t>
      </w:r>
    </w:p>
    <w:p>
      <w:pPr>
        <w:spacing w:before="0" w:after="120" w:line="300" w:lineRule="auto"/>
        <w:jc w:val="left"/>
      </w:pPr>
      <w:r>
        <w:rPr>
          <w:rFonts w:ascii="Calibri" w:hAnsi="Calibri" w:eastAsia="Microsoft YaHei"/>
          <w:b w:val="0"/>
          <w:i w:val="0"/>
          <w:color w:val="000000"/>
          <w:sz w:val="22"/>
        </w:rPr>
        <w:t>管理代理层级、登录账号、推广入口、费率和面向下级商户的默认策略。</w:t>
      </w:r>
    </w:p>
    <w:p>
      <w:pPr>
        <w:keepLines/>
        <w:spacing w:before="80" w:after="160" w:line="276" w:lineRule="auto"/>
        <w:shd w:fill="E8EEF5"/>
        <w:pBdr>
          <w:left w:val="single" w:sz="18" w:space="8" w:color="1F4D78"/>
        </w:pBdr>
      </w:pPr>
      <w:r>
        <w:rPr>
          <w:rFonts w:ascii="Calibri" w:hAnsi="Calibri" w:eastAsia="Microsoft YaHei"/>
          <w:b/>
          <w:i w:val="0"/>
          <w:color w:val="1F4D78"/>
          <w:sz w:val="21"/>
        </w:rPr>
        <w:t>探查结论</w:t>
        <w:br/>
      </w:r>
      <w:r>
        <w:rPr>
          <w:rFonts w:ascii="Calibri" w:hAnsi="Calibri" w:eastAsia="Microsoft YaHei"/>
          <w:b w:val="0"/>
          <w:i w:val="0"/>
          <w:color w:val="000000"/>
          <w:sz w:val="20"/>
        </w:rPr>
        <w:t>[已观察] 支持新增下级、编辑、推广码、重置密码、代理费率、商户预设和状态开关；当前代理自身状态开关不可操作。</w:t>
      </w:r>
    </w:p>
    <w:p>
      <w:pPr>
        <w:pStyle w:val="Heading2"/>
        <w:keepNext/>
      </w:pPr>
      <w:r>
        <w:t>功能需求</w:t>
      </w:r>
    </w:p>
    <w:tbl>
      <w:tblPr>
        <w:tblW w:type="dxa" w:w="9360"/>
        <w:jc w:val="left"/>
        <w:tblLayout w:type="fixed"/>
        <w:tblLook w:firstColumn="1" w:firstRow="1" w:lastColumn="0" w:lastRow="0" w:noHBand="0" w:noVBand="1" w:val="04A0"/>
        <w:tblInd w:type="dxa" w:w="120"/>
      </w:tblPr>
      <w:tblGrid>
        <w:gridCol w:w="1120"/>
        <w:gridCol w:w="680"/>
        <w:gridCol w:w="4120"/>
        <w:gridCol w:w="3440"/>
      </w:tblGrid>
      <w:tr>
        <w:trPr>
          <w:tblHeader w:val="true"/>
        </w:trPr>
        <w:tc>
          <w:tcPr>
            <w:tcW w:type="dxa" w:w="112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需求 ID</w:t>
            </w:r>
          </w:p>
        </w:tc>
        <w:tc>
          <w:tcPr>
            <w:tcW w:type="dxa" w:w="68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优先级</w:t>
            </w:r>
          </w:p>
        </w:tc>
        <w:tc>
          <w:tcPr>
            <w:tcW w:type="dxa" w:w="412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功能需求</w:t>
            </w:r>
          </w:p>
        </w:tc>
        <w:tc>
          <w:tcPr>
            <w:tcW w:type="dxa" w:w="344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关键验收点</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FR-AGT-001</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按代理 ID、名称、状态查询代理列表。</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组合查询、分页和数据范围正确。</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FR-AGT-002</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新增直接下级代理，登录账号由系统生成。</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必填校验、账号唯一、层级关系正确。</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FR-AGT-003</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P1</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编辑代理名称、联系电话和备注。</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编辑失败时不得部分更新。</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FR-AGT-004</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限制用户仅管理本人及授权下级代理。</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篡改上级代理 ID 时服务端拒绝。</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FR-AGT-005</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启停下级代理并记录原因。</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停用后新登录被拒绝且会话按策略失效。</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FR-AGT-006</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重置下级代理密码。</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二次确认、独立权限、审计留痕。</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FR-AGT-007</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P1</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生成与下载唯一推广二维码。</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二维码归属不可篡改，停用后失效。</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FR-AGT-008</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配置入金、出金成本、固定费用和分润比例。</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下级费率不突破上级授权区间。</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FR-AGT-009</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P1</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配置商户产品与费率预设。</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新商户正确带出，历史配置不被追溯修改。</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FR-AGT-010</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保留代理和费率的版本与审计记录。</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可追溯修改前后值、生效时间和操作者。</w:t>
            </w:r>
          </w:p>
        </w:tc>
      </w:tr>
    </w:tbl>
    <w:p>
      <w:pPr>
        <w:spacing w:after="40"/>
      </w:pPr>
    </w:p>
    <w:p>
      <w:pPr>
        <w:pStyle w:val="Heading2"/>
        <w:keepNext/>
      </w:pPr>
      <w:r>
        <w:t>业务规则</w:t>
      </w:r>
    </w:p>
    <w:p>
      <w:pPr>
        <w:pStyle w:val="ListBullet"/>
        <w:spacing w:after="80" w:line="300" w:lineRule="auto"/>
      </w:pPr>
      <w:r>
        <w:rPr>
          <w:rFonts w:ascii="Calibri" w:hAnsi="Calibri" w:eastAsia="Microsoft YaHei"/>
          <w:b w:val="0"/>
          <w:i w:val="0"/>
          <w:color w:val="000000"/>
          <w:sz w:val="22"/>
        </w:rPr>
        <w:t>同一代理、渠道、产品和费率类型不得重复配置。</w:t>
      </w:r>
    </w:p>
    <w:p>
      <w:pPr>
        <w:pStyle w:val="ListBullet"/>
        <w:spacing w:after="80" w:line="300" w:lineRule="auto"/>
      </w:pPr>
      <w:r>
        <w:rPr>
          <w:rFonts w:ascii="Calibri" w:hAnsi="Calibri" w:eastAsia="Microsoft YaHei"/>
          <w:b w:val="0"/>
          <w:i w:val="0"/>
          <w:color w:val="000000"/>
          <w:sz w:val="22"/>
        </w:rPr>
        <w:t>费率变更必须指定生效时间，仅作用于约定范围内的新业务。</w:t>
      </w:r>
    </w:p>
    <w:p>
      <w:pPr>
        <w:pStyle w:val="Heading2"/>
        <w:keepNext/>
      </w:pPr>
      <w:r>
        <w:t>异常与边界</w:t>
      </w:r>
    </w:p>
    <w:p>
      <w:pPr>
        <w:pStyle w:val="ListBullet"/>
        <w:spacing w:after="80" w:line="300" w:lineRule="auto"/>
      </w:pPr>
      <w:r>
        <w:rPr>
          <w:rFonts w:ascii="Calibri" w:hAnsi="Calibri" w:eastAsia="Microsoft YaHei"/>
          <w:b w:val="0"/>
          <w:i w:val="0"/>
          <w:color w:val="000000"/>
          <w:sz w:val="22"/>
        </w:rPr>
        <w:t>代理已有商户或资金业务时，停用影响范围必须在确认页明确说明。</w:t>
      </w:r>
    </w:p>
    <w:p>
      <w:pPr>
        <w:pStyle w:val="Heading1"/>
        <w:keepNext/>
      </w:pPr>
      <w:r>
        <w:t>7  商户主档</w:t>
      </w:r>
    </w:p>
    <w:p>
      <w:pPr>
        <w:spacing w:before="0" w:after="120" w:line="300" w:lineRule="auto"/>
        <w:jc w:val="left"/>
      </w:pPr>
      <w:r>
        <w:rPr>
          <w:rFonts w:ascii="Calibri" w:hAnsi="Calibri" w:eastAsia="Microsoft YaHei"/>
          <w:b w:val="0"/>
          <w:i w:val="0"/>
          <w:color w:val="000000"/>
          <w:sz w:val="22"/>
        </w:rPr>
        <w:t>维护商户基础身份、代理归属、联系人、行业、账号与渠道状态。</w:t>
      </w:r>
    </w:p>
    <w:p>
      <w:pPr>
        <w:keepLines/>
        <w:spacing w:before="80" w:after="160" w:line="276" w:lineRule="auto"/>
        <w:shd w:fill="E8EEF5"/>
        <w:pBdr>
          <w:left w:val="single" w:sz="18" w:space="8" w:color="1F4D78"/>
        </w:pBdr>
      </w:pPr>
      <w:r>
        <w:rPr>
          <w:rFonts w:ascii="Calibri" w:hAnsi="Calibri" w:eastAsia="Microsoft YaHei"/>
          <w:b/>
          <w:i w:val="0"/>
          <w:color w:val="1F4D78"/>
          <w:sz w:val="21"/>
        </w:rPr>
        <w:t>探查结论</w:t>
        <w:br/>
      </w:r>
      <w:r>
        <w:rPr>
          <w:rFonts w:ascii="Calibri" w:hAnsi="Calibri" w:eastAsia="Microsoft YaHei"/>
          <w:b w:val="0"/>
          <w:i w:val="0"/>
          <w:color w:val="000000"/>
          <w:sz w:val="20"/>
        </w:rPr>
        <w:t>[已观察] 可按商户 ID、登录账号、名称、联系人、法人、性质、代理、渠道、状态和日期查询；新增时自动生成登录及复核账号。</w:t>
      </w:r>
    </w:p>
    <w:p>
      <w:pPr>
        <w:pStyle w:val="Heading2"/>
        <w:keepNext/>
      </w:pPr>
      <w:r>
        <w:t>功能需求</w:t>
      </w:r>
    </w:p>
    <w:tbl>
      <w:tblPr>
        <w:tblW w:type="dxa" w:w="9360"/>
        <w:jc w:val="left"/>
        <w:tblLayout w:type="fixed"/>
        <w:tblLook w:firstColumn="1" w:firstRow="1" w:lastColumn="0" w:lastRow="0" w:noHBand="0" w:noVBand="1" w:val="04A0"/>
        <w:tblInd w:type="dxa" w:w="120"/>
      </w:tblPr>
      <w:tblGrid>
        <w:gridCol w:w="1120"/>
        <w:gridCol w:w="680"/>
        <w:gridCol w:w="4120"/>
        <w:gridCol w:w="3440"/>
      </w:tblGrid>
      <w:tr>
        <w:trPr>
          <w:tblHeader w:val="true"/>
        </w:trPr>
        <w:tc>
          <w:tcPr>
            <w:tcW w:type="dxa" w:w="112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需求 ID</w:t>
            </w:r>
          </w:p>
        </w:tc>
        <w:tc>
          <w:tcPr>
            <w:tcW w:type="dxa" w:w="68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优先级</w:t>
            </w:r>
          </w:p>
        </w:tc>
        <w:tc>
          <w:tcPr>
            <w:tcW w:type="dxa" w:w="412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功能需求</w:t>
            </w:r>
          </w:p>
        </w:tc>
        <w:tc>
          <w:tcPr>
            <w:tcW w:type="dxa" w:w="344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关键验收点</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FR-MER-001</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支持多条件组合查询、分页和重置。</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数据范围与代理层级一致。</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FR-MER-002</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P1</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列表展示主档、当前渠道、费率和可执行动作。</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跨页无重复或遗漏。</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FR-MER-003</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新增商户并维护类型、名称、简称、代理、联系人和行业。</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必填与格式校验完整。</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FR-MER-004</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自动生成唯一商户账号与复核账号。</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两账号不得相同或错绑商户。</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FR-MER-005</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按统一社会信用代码等规则识别重复主体。</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并发提交不产生重复商户。</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FR-MER-006</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按状态锁定代理归属和已认证关键字段。</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关键身份变更触发重新核验。</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FR-MER-007</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启停商户并控制交易、进件和出金权限。</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二次确认并记录原因。</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FR-MER-008</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P1</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展示各支付渠道及对应商户费率。</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渠道状态与主档状态独立。</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FR-MER-009</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P1</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对已开通渠道提供调额和历史入口。</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入口仅在满足条件时可见。</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FR-MER-010</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执行商户间和代理体系间数据隔离。</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直接枚举商户 ID 无法越权访问。</w:t>
            </w:r>
          </w:p>
        </w:tc>
      </w:tr>
    </w:tbl>
    <w:p>
      <w:pPr>
        <w:spacing w:after="40"/>
      </w:pPr>
    </w:p>
    <w:p>
      <w:pPr>
        <w:pStyle w:val="Heading2"/>
        <w:keepNext/>
      </w:pPr>
      <w:r>
        <w:t>业务规则</w:t>
      </w:r>
    </w:p>
    <w:p>
      <w:pPr>
        <w:pStyle w:val="ListBullet"/>
        <w:spacing w:after="80" w:line="300" w:lineRule="auto"/>
      </w:pPr>
      <w:r>
        <w:rPr>
          <w:rFonts w:ascii="Calibri" w:hAnsi="Calibri" w:eastAsia="Microsoft YaHei"/>
          <w:b w:val="0"/>
          <w:i w:val="0"/>
          <w:color w:val="000000"/>
          <w:sz w:val="22"/>
        </w:rPr>
        <w:t>经营行业最大 100 字，主要产品描述最大 255 字。</w:t>
      </w:r>
    </w:p>
    <w:p>
      <w:pPr>
        <w:pStyle w:val="ListBullet"/>
        <w:spacing w:after="80" w:line="300" w:lineRule="auto"/>
      </w:pPr>
      <w:r>
        <w:rPr>
          <w:rFonts w:ascii="Calibri" w:hAnsi="Calibri" w:eastAsia="Microsoft YaHei"/>
          <w:b w:val="0"/>
          <w:i w:val="0"/>
          <w:color w:val="000000"/>
          <w:sz w:val="22"/>
        </w:rPr>
        <w:t>复核人员手机号必须唯一对应正确商户复核账号。</w:t>
      </w:r>
    </w:p>
    <w:p>
      <w:pPr>
        <w:pStyle w:val="Heading2"/>
        <w:keepNext/>
      </w:pPr>
      <w:r>
        <w:t>异常与边界</w:t>
      </w:r>
    </w:p>
    <w:p>
      <w:pPr>
        <w:pStyle w:val="ListBullet"/>
        <w:spacing w:after="80" w:line="300" w:lineRule="auto"/>
      </w:pPr>
      <w:r>
        <w:rPr>
          <w:rFonts w:ascii="Calibri" w:hAnsi="Calibri" w:eastAsia="Microsoft YaHei"/>
          <w:b w:val="0"/>
          <w:i w:val="0"/>
          <w:color w:val="000000"/>
          <w:sz w:val="22"/>
        </w:rPr>
        <w:t>法人、结算账户、代理归属等关键字段修改失败时原数据保持完整。</w:t>
      </w:r>
    </w:p>
    <w:p>
      <w:pPr>
        <w:pStyle w:val="Heading1"/>
        <w:keepNext/>
      </w:pPr>
      <w:r>
        <w:t>8  渠道进件与 KYC</w:t>
      </w:r>
    </w:p>
    <w:p>
      <w:pPr>
        <w:spacing w:before="0" w:after="120" w:line="300" w:lineRule="auto"/>
        <w:jc w:val="left"/>
      </w:pPr>
      <w:r>
        <w:rPr>
          <w:rFonts w:ascii="Calibri" w:hAnsi="Calibri" w:eastAsia="Microsoft YaHei"/>
          <w:b w:val="0"/>
          <w:i w:val="0"/>
          <w:color w:val="000000"/>
          <w:sz w:val="22"/>
        </w:rPr>
        <w:t>完成商户向银行或支付机构的准入申请，并形成可复核、可补件、可追踪的资料版本。</w:t>
      </w:r>
    </w:p>
    <w:p>
      <w:pPr>
        <w:keepLines/>
        <w:spacing w:before="80" w:after="160" w:line="276" w:lineRule="auto"/>
        <w:shd w:fill="E8EEF5"/>
        <w:pBdr>
          <w:left w:val="single" w:sz="18" w:space="8" w:color="1F4D78"/>
        </w:pBdr>
      </w:pPr>
      <w:r>
        <w:rPr>
          <w:rFonts w:ascii="Calibri" w:hAnsi="Calibri" w:eastAsia="Microsoft YaHei"/>
          <w:b/>
          <w:i w:val="0"/>
          <w:color w:val="1F4D78"/>
          <w:sz w:val="21"/>
        </w:rPr>
        <w:t>探查结论</w:t>
        <w:br/>
      </w:r>
      <w:r>
        <w:rPr>
          <w:rFonts w:ascii="Calibri" w:hAnsi="Calibri" w:eastAsia="Microsoft YaHei"/>
          <w:b w:val="0"/>
          <w:i w:val="0"/>
          <w:color w:val="000000"/>
          <w:sz w:val="20"/>
        </w:rPr>
        <w:t>[已观察] 支持微众银行、渤海银行、新网银行、中金支付；五步向导覆盖证照、主体、结算、费率和电商平台经营证明，并支持资料复用和草稿保存。</w:t>
      </w:r>
    </w:p>
    <w:p>
      <w:pPr>
        <w:pStyle w:val="Heading2"/>
        <w:keepNext/>
      </w:pPr>
      <w:r>
        <w:t>功能需求</w:t>
      </w:r>
    </w:p>
    <w:tbl>
      <w:tblPr>
        <w:tblW w:type="dxa" w:w="9360"/>
        <w:jc w:val="left"/>
        <w:tblLayout w:type="fixed"/>
        <w:tblLook w:firstColumn="1" w:firstRow="1" w:lastColumn="0" w:lastRow="0" w:noHBand="0" w:noVBand="1" w:val="04A0"/>
        <w:tblInd w:type="dxa" w:w="120"/>
      </w:tblPr>
      <w:tblGrid>
        <w:gridCol w:w="1120"/>
        <w:gridCol w:w="680"/>
        <w:gridCol w:w="4120"/>
        <w:gridCol w:w="3440"/>
      </w:tblGrid>
      <w:tr>
        <w:trPr>
          <w:tblHeader w:val="true"/>
        </w:trPr>
        <w:tc>
          <w:tcPr>
            <w:tcW w:type="dxa" w:w="112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需求 ID</w:t>
            </w:r>
          </w:p>
        </w:tc>
        <w:tc>
          <w:tcPr>
            <w:tcW w:type="dxa" w:w="68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优先级</w:t>
            </w:r>
          </w:p>
        </w:tc>
        <w:tc>
          <w:tcPr>
            <w:tcW w:type="dxa" w:w="412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功能需求</w:t>
            </w:r>
          </w:p>
        </w:tc>
        <w:tc>
          <w:tcPr>
            <w:tcW w:type="dxa" w:w="344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关键验收点</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FR-ONB-001</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按权限展示可用支付渠道。</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渠道停用或未授权时不可选择。</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FR-ONB-002</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P1</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允许复用同商户历史渠道资料。</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展示来源与时间，渠道特有字段不误复用。</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FR-ONB-003</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五步向导按顺序校验并允许返回。</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返回后草稿数据保持。</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FR-ONB-004</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采集法人/经办人身份证、营业执照、开户材料。</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必要附件缺失时不能最终提交。</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FR-ONB-005</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校验附件格式、大小、数量、内容和病毒。</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伪造扩展名与恶意文件被拒绝。</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FR-ONB-006</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维护企业名称、信用代码、有效期、范围和地址。</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证照号码、日期和地区格式正确。</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FR-ONB-007</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维护法人、经办人、受益人及证件有效期。</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条件必填与有效期逻辑正确。</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FR-ONB-008</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维护个人/企业股东并支持法人填充。</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股权及受益人规则可配置并校验。</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FR-ONB-009</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配置普通或极速认证结算账户。</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户名、卡号、预留手机和开户行通过验证。</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FR-ONB-010</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录入结算入金、壹企付入金、出金和固定费用。</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费率处于代理授权范围。</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FR-ONB-011</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维护多个经营平台及店铺、流水、认证和订单证明。</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不同平台材料互不覆盖。</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FR-ONB-012</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P1</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提供保存草稿与恢复功能。</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刷新或重新登录后可恢复已保存版本。</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FR-ONB-013</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最终提交前展示完整预览。</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用户确认前不得调用渠道。</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FR-ONB-014</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最终提交生成唯一申请单并保证幂等。</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重复点击只产生一笔申请。</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FR-ONB-015</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已提交资料进入只读或补件状态。</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不得直接覆盖审核中的历史版本。</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FR-ONB-016</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P1</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展示渠道账户、签约链接并生成流程二维码。</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二维码与商户、申请单和有效期绑定。</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FR-ONB-017</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跟踪报备、协议、绑卡、备付金和最终结果。</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回调验签、幂等、乱序收敛。</w:t>
            </w:r>
          </w:p>
        </w:tc>
      </w:tr>
    </w:tbl>
    <w:p>
      <w:pPr>
        <w:spacing w:after="40"/>
      </w:pPr>
    </w:p>
    <w:p>
      <w:pPr>
        <w:pStyle w:val="Heading2"/>
        <w:keepNext/>
      </w:pPr>
      <w:r>
        <w:t>业务规则</w:t>
      </w:r>
    </w:p>
    <w:p>
      <w:pPr>
        <w:pStyle w:val="ListBullet"/>
        <w:spacing w:after="80" w:line="300" w:lineRule="auto"/>
      </w:pPr>
      <w:r>
        <w:rPr>
          <w:rFonts w:ascii="Calibri" w:hAnsi="Calibri" w:eastAsia="Microsoft YaHei"/>
          <w:b w:val="0"/>
          <w:i w:val="0"/>
          <w:color w:val="000000"/>
          <w:sz w:val="22"/>
        </w:rPr>
        <w:t>其他附件最多六个；最终允许格式和单文件大小必须由渠道配置决定并由前后端共同校验。</w:t>
      </w:r>
    </w:p>
    <w:p>
      <w:pPr>
        <w:pStyle w:val="ListBullet"/>
        <w:spacing w:after="80" w:line="300" w:lineRule="auto"/>
      </w:pPr>
      <w:r>
        <w:rPr>
          <w:rFonts w:ascii="Calibri" w:hAnsi="Calibri" w:eastAsia="Microsoft YaHei"/>
          <w:b w:val="0"/>
          <w:i w:val="0"/>
          <w:color w:val="000000"/>
          <w:sz w:val="22"/>
        </w:rPr>
        <w:t>跨渠道资料复用后仍需重新执行完整性、有效期和权限校验。</w:t>
      </w:r>
    </w:p>
    <w:p>
      <w:pPr>
        <w:pStyle w:val="Heading2"/>
        <w:keepNext/>
      </w:pPr>
      <w:r>
        <w:t>异常与边界</w:t>
      </w:r>
    </w:p>
    <w:p>
      <w:pPr>
        <w:pStyle w:val="ListBullet"/>
        <w:spacing w:after="80" w:line="300" w:lineRule="auto"/>
      </w:pPr>
      <w:r>
        <w:rPr>
          <w:rFonts w:ascii="Calibri" w:hAnsi="Calibri" w:eastAsia="Microsoft YaHei"/>
          <w:b w:val="0"/>
          <w:i w:val="0"/>
          <w:color w:val="000000"/>
          <w:sz w:val="22"/>
        </w:rPr>
        <w:t>渠道超时、状态不确定、重复回调或部分成功时，须有异常记录、重试和人工补偿入口。</w:t>
      </w:r>
    </w:p>
    <w:p>
      <w:pPr>
        <w:pStyle w:val="Heading1"/>
        <w:keepNext/>
      </w:pPr>
      <w:r>
        <w:t>9  进件审核与修订</w:t>
      </w:r>
    </w:p>
    <w:p>
      <w:pPr>
        <w:spacing w:before="0" w:after="120" w:line="300" w:lineRule="auto"/>
        <w:jc w:val="left"/>
      </w:pPr>
      <w:r>
        <w:rPr>
          <w:rFonts w:ascii="Calibri" w:hAnsi="Calibri" w:eastAsia="Microsoft YaHei"/>
          <w:b w:val="0"/>
          <w:i w:val="0"/>
          <w:color w:val="000000"/>
          <w:sz w:val="22"/>
        </w:rPr>
        <w:t>通过 AI 辅助、人工审核、补件及修订对比实现 KYC 风控闭环。</w:t>
      </w:r>
    </w:p>
    <w:p>
      <w:pPr>
        <w:keepLines/>
        <w:spacing w:before="80" w:after="160" w:line="276" w:lineRule="auto"/>
        <w:shd w:fill="E8EEF5"/>
        <w:pBdr>
          <w:left w:val="single" w:sz="18" w:space="8" w:color="1F4D78"/>
        </w:pBdr>
      </w:pPr>
      <w:r>
        <w:rPr>
          <w:rFonts w:ascii="Calibri" w:hAnsi="Calibri" w:eastAsia="Microsoft YaHei"/>
          <w:b/>
          <w:i w:val="0"/>
          <w:color w:val="1F4D78"/>
          <w:sz w:val="21"/>
        </w:rPr>
        <w:t>探查结论</w:t>
        <w:br/>
      </w:r>
      <w:r>
        <w:rPr>
          <w:rFonts w:ascii="Calibri" w:hAnsi="Calibri" w:eastAsia="Microsoft YaHei"/>
          <w:b w:val="0"/>
          <w:i w:val="0"/>
          <w:color w:val="000000"/>
          <w:sz w:val="20"/>
        </w:rPr>
        <w:t>[已观察] 可按商户、渠道、审核状态、AI 结论和是否包含下级查询；列表同时展示人工状态与 AI 结论，并可查看修订前后资料。</w:t>
      </w:r>
    </w:p>
    <w:p>
      <w:pPr>
        <w:pStyle w:val="Heading2"/>
        <w:keepNext/>
      </w:pPr>
      <w:r>
        <w:t>功能需求</w:t>
      </w:r>
    </w:p>
    <w:tbl>
      <w:tblPr>
        <w:tblW w:type="dxa" w:w="9360"/>
        <w:jc w:val="left"/>
        <w:tblLayout w:type="fixed"/>
        <w:tblLook w:firstColumn="1" w:firstRow="1" w:lastColumn="0" w:lastRow="0" w:noHBand="0" w:noVBand="1" w:val="04A0"/>
        <w:tblInd w:type="dxa" w:w="120"/>
      </w:tblPr>
      <w:tblGrid>
        <w:gridCol w:w="1120"/>
        <w:gridCol w:w="680"/>
        <w:gridCol w:w="4120"/>
        <w:gridCol w:w="3440"/>
      </w:tblGrid>
      <w:tr>
        <w:trPr>
          <w:tblHeader w:val="true"/>
        </w:trPr>
        <w:tc>
          <w:tcPr>
            <w:tcW w:type="dxa" w:w="112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需求 ID</w:t>
            </w:r>
          </w:p>
        </w:tc>
        <w:tc>
          <w:tcPr>
            <w:tcW w:type="dxa" w:w="68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优先级</w:t>
            </w:r>
          </w:p>
        </w:tc>
        <w:tc>
          <w:tcPr>
            <w:tcW w:type="dxa" w:w="412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功能需求</w:t>
            </w:r>
          </w:p>
        </w:tc>
        <w:tc>
          <w:tcPr>
            <w:tcW w:type="dxa" w:w="344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关键验收点</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FR-REV-001</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按多条件和代理范围查询审核记录。</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包含下级仅扩展到授权后代。</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FR-REV-002</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AI 结论与人工结论独立存储展示。</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AI 不自动覆盖人工结果。</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FR-REV-003</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支持通过、驳回和补件。</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操作权限和当前状态由服务端校验。</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FR-REV-004</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驳回或补件必须明确问题项及原因。</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审核意见必填且长度受控。</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FR-REV-005</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按字段和附件展示修改前后版本。</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未修改字段不误标，历史版本不可覆盖。</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FR-REV-006</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防止多人并发覆盖审核结果。</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后提交者收到状态已变化提示。</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FR-REV-007</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P1</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记录审核人、分配人、时间、意见和证据。</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完整审核链可追溯。</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FR-REV-008</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渠道反馈映射为统一内部状态。</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原始摘要、映射规则和处理结果留痕。</w:t>
            </w:r>
          </w:p>
        </w:tc>
      </w:tr>
    </w:tbl>
    <w:p>
      <w:pPr>
        <w:spacing w:after="40"/>
      </w:pPr>
    </w:p>
    <w:p>
      <w:pPr>
        <w:pStyle w:val="Heading2"/>
        <w:keepNext/>
      </w:pPr>
      <w:r>
        <w:t>业务规则</w:t>
      </w:r>
    </w:p>
    <w:p>
      <w:pPr>
        <w:pStyle w:val="ListBullet"/>
        <w:spacing w:after="80" w:line="300" w:lineRule="auto"/>
      </w:pPr>
      <w:r>
        <w:rPr>
          <w:rFonts w:ascii="Calibri" w:hAnsi="Calibri" w:eastAsia="Microsoft YaHei"/>
          <w:b w:val="0"/>
          <w:i w:val="0"/>
          <w:color w:val="000000"/>
          <w:sz w:val="22"/>
        </w:rPr>
        <w:t>审核本人提交的申请应被禁止或进入强化复核。</w:t>
      </w:r>
    </w:p>
    <w:p>
      <w:pPr>
        <w:pStyle w:val="ListBullet"/>
        <w:spacing w:after="80" w:line="300" w:lineRule="auto"/>
      </w:pPr>
      <w:r>
        <w:rPr>
          <w:rFonts w:ascii="Calibri" w:hAnsi="Calibri" w:eastAsia="Microsoft YaHei"/>
          <w:b w:val="0"/>
          <w:i w:val="0"/>
          <w:color w:val="000000"/>
          <w:sz w:val="22"/>
        </w:rPr>
        <w:t>AI 结论必须携带模型/规则版本、生成时间和证据摘要。</w:t>
      </w:r>
    </w:p>
    <w:p>
      <w:pPr>
        <w:pStyle w:val="Heading2"/>
        <w:keepNext/>
      </w:pPr>
      <w:r>
        <w:t>异常与边界</w:t>
      </w:r>
    </w:p>
    <w:p>
      <w:pPr>
        <w:pStyle w:val="ListBullet"/>
        <w:spacing w:after="80" w:line="300" w:lineRule="auto"/>
      </w:pPr>
      <w:r>
        <w:rPr>
          <w:rFonts w:ascii="Calibri" w:hAnsi="Calibri" w:eastAsia="Microsoft YaHei"/>
          <w:b w:val="0"/>
          <w:i w:val="0"/>
          <w:color w:val="000000"/>
          <w:sz w:val="22"/>
        </w:rPr>
        <w:t>审核记录被其他人处理、资料版本已变化或渠道状态更新时，当前页面不得覆盖最新结果。</w:t>
      </w:r>
    </w:p>
    <w:p>
      <w:pPr>
        <w:pStyle w:val="Heading1"/>
        <w:keepNext/>
      </w:pPr>
      <w:r>
        <w:t>10  商户调额</w:t>
      </w:r>
    </w:p>
    <w:p>
      <w:pPr>
        <w:spacing w:before="0" w:after="120" w:line="300" w:lineRule="auto"/>
        <w:jc w:val="left"/>
      </w:pPr>
      <w:r>
        <w:rPr>
          <w:rFonts w:ascii="Calibri" w:hAnsi="Calibri" w:eastAsia="Microsoft YaHei"/>
          <w:b w:val="0"/>
          <w:i w:val="0"/>
          <w:color w:val="000000"/>
          <w:sz w:val="22"/>
        </w:rPr>
        <w:t>允许已开通渠道的商户申请调整月度入金额度，并记录审批和生效轨迹。</w:t>
      </w:r>
    </w:p>
    <w:p>
      <w:pPr>
        <w:keepLines/>
        <w:spacing w:before="80" w:after="160" w:line="276" w:lineRule="auto"/>
        <w:shd w:fill="E8EEF5"/>
        <w:pBdr>
          <w:left w:val="single" w:sz="18" w:space="8" w:color="1F4D78"/>
        </w:pBdr>
      </w:pPr>
      <w:r>
        <w:rPr>
          <w:rFonts w:ascii="Calibri" w:hAnsi="Calibri" w:eastAsia="Microsoft YaHei"/>
          <w:b/>
          <w:i w:val="0"/>
          <w:color w:val="1F4D78"/>
          <w:sz w:val="21"/>
        </w:rPr>
        <w:t>探查结论</w:t>
        <w:br/>
      </w:r>
      <w:r>
        <w:rPr>
          <w:rFonts w:ascii="Calibri" w:hAnsi="Calibri" w:eastAsia="Microsoft YaHei"/>
          <w:b w:val="0"/>
          <w:i w:val="0"/>
          <w:color w:val="000000"/>
          <w:sz w:val="20"/>
        </w:rPr>
        <w:t>[已观察] 表单包含支付渠道、入金平台、申请月限额、千元向上取整提示和 500 字申请原因；历史记录包含申请单号、状态及审核信息。</w:t>
      </w:r>
    </w:p>
    <w:p>
      <w:pPr>
        <w:pStyle w:val="Heading2"/>
        <w:keepNext/>
      </w:pPr>
      <w:r>
        <w:t>功能需求</w:t>
      </w:r>
    </w:p>
    <w:tbl>
      <w:tblPr>
        <w:tblW w:type="dxa" w:w="9360"/>
        <w:jc w:val="left"/>
        <w:tblLayout w:type="fixed"/>
        <w:tblLook w:firstColumn="1" w:firstRow="1" w:lastColumn="0" w:lastRow="0" w:noHBand="0" w:noVBand="1" w:val="04A0"/>
        <w:tblInd w:type="dxa" w:w="120"/>
      </w:tblPr>
      <w:tblGrid>
        <w:gridCol w:w="1120"/>
        <w:gridCol w:w="680"/>
        <w:gridCol w:w="4120"/>
        <w:gridCol w:w="3440"/>
      </w:tblGrid>
      <w:tr>
        <w:trPr>
          <w:tblHeader w:val="true"/>
        </w:trPr>
        <w:tc>
          <w:tcPr>
            <w:tcW w:type="dxa" w:w="112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需求 ID</w:t>
            </w:r>
          </w:p>
        </w:tc>
        <w:tc>
          <w:tcPr>
            <w:tcW w:type="dxa" w:w="68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优先级</w:t>
            </w:r>
          </w:p>
        </w:tc>
        <w:tc>
          <w:tcPr>
            <w:tcW w:type="dxa" w:w="412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功能需求</w:t>
            </w:r>
          </w:p>
        </w:tc>
        <w:tc>
          <w:tcPr>
            <w:tcW w:type="dxa" w:w="344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关键验收点</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FR-LIM-001</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创建渠道与平台维度的月限额申请。</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必填和范围校验正确。</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FR-LIM-002</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按千元向上取整并清晰回显。</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前后端采用同一规则。</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FR-LIM-003</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阻止相同维度的处理中重复申请。</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网络重试不产生重复单。</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FR-LIM-004</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记录原额度、目标额度、原因与申请人。</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历史记录不可覆盖。</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FR-LIM-005</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审核通过后按生效时间更新额度。</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驳回时原额度不变。</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FR-LIM-006</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P1</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展示审核时间、意见和最终生效结果。</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申请、审核、渠道结果可关联。</w:t>
            </w:r>
          </w:p>
        </w:tc>
      </w:tr>
    </w:tbl>
    <w:p>
      <w:pPr>
        <w:spacing w:after="40"/>
      </w:pPr>
    </w:p>
    <w:p>
      <w:pPr>
        <w:pStyle w:val="Heading2"/>
        <w:keepNext/>
      </w:pPr>
      <w:r>
        <w:t>业务规则</w:t>
      </w:r>
    </w:p>
    <w:p>
      <w:pPr>
        <w:pStyle w:val="ListBullet"/>
        <w:spacing w:after="80" w:line="300" w:lineRule="auto"/>
      </w:pPr>
      <w:r>
        <w:rPr>
          <w:rFonts w:ascii="Calibri" w:hAnsi="Calibri" w:eastAsia="Microsoft YaHei"/>
          <w:b w:val="0"/>
          <w:i w:val="0"/>
          <w:color w:val="000000"/>
          <w:sz w:val="22"/>
        </w:rPr>
        <w:t>申请原因最大 500 字。</w:t>
      </w:r>
    </w:p>
    <w:p>
      <w:pPr>
        <w:pStyle w:val="ListBullet"/>
        <w:spacing w:after="80" w:line="300" w:lineRule="auto"/>
      </w:pPr>
      <w:r>
        <w:rPr>
          <w:rFonts w:ascii="Calibri" w:hAnsi="Calibri" w:eastAsia="Microsoft YaHei"/>
          <w:b w:val="0"/>
          <w:i w:val="0"/>
          <w:color w:val="000000"/>
          <w:sz w:val="22"/>
        </w:rPr>
        <w:t>额度上下限、审批层级和是否允许撤回属于待确认业务参数。</w:t>
      </w:r>
    </w:p>
    <w:p>
      <w:pPr>
        <w:pStyle w:val="Heading2"/>
        <w:keepNext/>
      </w:pPr>
      <w:r>
        <w:t>异常与边界</w:t>
      </w:r>
    </w:p>
    <w:p>
      <w:pPr>
        <w:pStyle w:val="ListBullet"/>
        <w:spacing w:after="80" w:line="300" w:lineRule="auto"/>
      </w:pPr>
      <w:r>
        <w:rPr>
          <w:rFonts w:ascii="Calibri" w:hAnsi="Calibri" w:eastAsia="Microsoft YaHei"/>
          <w:b w:val="0"/>
          <w:i w:val="0"/>
          <w:color w:val="000000"/>
          <w:sz w:val="22"/>
        </w:rPr>
        <w:t>渠道已停用、商户状态异常或材料失效时不得提交调额。</w:t>
      </w:r>
    </w:p>
    <w:p>
      <w:pPr>
        <w:pStyle w:val="Heading1"/>
        <w:keepNext/>
      </w:pPr>
      <w:r>
        <w:t>11  分账白名单</w:t>
      </w:r>
    </w:p>
    <w:p>
      <w:pPr>
        <w:spacing w:before="0" w:after="120" w:line="300" w:lineRule="auto"/>
        <w:jc w:val="left"/>
      </w:pPr>
      <w:r>
        <w:rPr>
          <w:rFonts w:ascii="Calibri" w:hAnsi="Calibri" w:eastAsia="Microsoft YaHei"/>
          <w:b w:val="0"/>
          <w:i w:val="0"/>
          <w:color w:val="000000"/>
          <w:sz w:val="22"/>
        </w:rPr>
        <w:t>管理商户资金分配的收款主体及渠道白名单状态。</w:t>
      </w:r>
    </w:p>
    <w:p>
      <w:pPr>
        <w:keepLines/>
        <w:spacing w:before="80" w:after="160" w:line="276" w:lineRule="auto"/>
        <w:shd w:fill="E8EEF5"/>
        <w:pBdr>
          <w:left w:val="single" w:sz="18" w:space="8" w:color="1F4D78"/>
        </w:pBdr>
      </w:pPr>
      <w:r>
        <w:rPr>
          <w:rFonts w:ascii="Calibri" w:hAnsi="Calibri" w:eastAsia="Microsoft YaHei"/>
          <w:b/>
          <w:i w:val="0"/>
          <w:color w:val="1F4D78"/>
          <w:sz w:val="21"/>
        </w:rPr>
        <w:t>探查结论</w:t>
        <w:br/>
      </w:r>
      <w:r>
        <w:rPr>
          <w:rFonts w:ascii="Calibri" w:hAnsi="Calibri" w:eastAsia="Microsoft YaHei"/>
          <w:b w:val="0"/>
          <w:i w:val="0"/>
          <w:color w:val="000000"/>
          <w:sz w:val="20"/>
        </w:rPr>
        <w:t>[已观察] 支持按商户、用户、渠道、添加状态、账户类型、姓名、手机和银行卡查询，并显示渠道反馈及导出入口。</w:t>
      </w:r>
    </w:p>
    <w:p>
      <w:pPr>
        <w:pStyle w:val="Heading2"/>
        <w:keepNext/>
      </w:pPr>
      <w:r>
        <w:t>功能需求</w:t>
      </w:r>
    </w:p>
    <w:tbl>
      <w:tblPr>
        <w:tblW w:type="dxa" w:w="9360"/>
        <w:jc w:val="left"/>
        <w:tblLayout w:type="fixed"/>
        <w:tblLook w:firstColumn="1" w:firstRow="1" w:lastColumn="0" w:lastRow="0" w:noHBand="0" w:noVBand="1" w:val="04A0"/>
        <w:tblInd w:type="dxa" w:w="120"/>
      </w:tblPr>
      <w:tblGrid>
        <w:gridCol w:w="1120"/>
        <w:gridCol w:w="680"/>
        <w:gridCol w:w="4120"/>
        <w:gridCol w:w="3440"/>
      </w:tblGrid>
      <w:tr>
        <w:trPr>
          <w:tblHeader w:val="true"/>
        </w:trPr>
        <w:tc>
          <w:tcPr>
            <w:tcW w:type="dxa" w:w="112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需求 ID</w:t>
            </w:r>
          </w:p>
        </w:tc>
        <w:tc>
          <w:tcPr>
            <w:tcW w:type="dxa" w:w="68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优先级</w:t>
            </w:r>
          </w:p>
        </w:tc>
        <w:tc>
          <w:tcPr>
            <w:tcW w:type="dxa" w:w="412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功能需求</w:t>
            </w:r>
          </w:p>
        </w:tc>
        <w:tc>
          <w:tcPr>
            <w:tcW w:type="dxa" w:w="344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关键验收点</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FR-WHT-001</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支持多条件查询与分页。</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查询与导出遵循相同数据范围。</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FR-WHT-002</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展示账号类型、收款银行、白名单状态与渠道反馈。</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状态来源和更新时间明确。</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FR-WHT-003</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手机号、银行卡号默认脱敏。</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无完整字段权限时接口不返回明文。</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FR-WHT-004</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同步渠道审核状态并处理重复、乱序通知。</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状态不得错误回退。</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FR-WHT-005</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导出需独立权限、审批或受控策略。</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导出文件脱敏、水印、限时并审计。</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FR-WHT-006</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P1</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失败状态展示可理解原因和重试建议。</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渠道原文与内部友好提示均保留。</w:t>
            </w:r>
          </w:p>
        </w:tc>
      </w:tr>
    </w:tbl>
    <w:p>
      <w:pPr>
        <w:spacing w:after="40"/>
      </w:pPr>
    </w:p>
    <w:p>
      <w:pPr>
        <w:pStyle w:val="Heading2"/>
        <w:keepNext/>
      </w:pPr>
      <w:r>
        <w:t>业务规则</w:t>
      </w:r>
    </w:p>
    <w:p>
      <w:pPr>
        <w:pStyle w:val="ListBullet"/>
        <w:spacing w:after="80" w:line="300" w:lineRule="auto"/>
      </w:pPr>
      <w:r>
        <w:rPr>
          <w:rFonts w:ascii="Calibri" w:hAnsi="Calibri" w:eastAsia="Microsoft YaHei"/>
          <w:b w:val="0"/>
          <w:i w:val="0"/>
          <w:color w:val="000000"/>
          <w:sz w:val="22"/>
        </w:rPr>
        <w:t>同一商户、渠道、用户和收款账户的唯一性规则须明确。</w:t>
      </w:r>
    </w:p>
    <w:p>
      <w:pPr>
        <w:pStyle w:val="ListBullet"/>
        <w:spacing w:after="80" w:line="300" w:lineRule="auto"/>
      </w:pPr>
      <w:r>
        <w:rPr>
          <w:rFonts w:ascii="Calibri" w:hAnsi="Calibri" w:eastAsia="Microsoft YaHei"/>
          <w:b w:val="0"/>
          <w:i w:val="0"/>
          <w:color w:val="000000"/>
          <w:sz w:val="22"/>
        </w:rPr>
        <w:t>白名单生效、失效和删除策略须与渠道一致。</w:t>
      </w:r>
    </w:p>
    <w:p>
      <w:pPr>
        <w:pStyle w:val="Heading2"/>
        <w:keepNext/>
      </w:pPr>
      <w:r>
        <w:t>异常与边界</w:t>
      </w:r>
    </w:p>
    <w:p>
      <w:pPr>
        <w:pStyle w:val="ListBullet"/>
        <w:spacing w:after="80" w:line="300" w:lineRule="auto"/>
      </w:pPr>
      <w:r>
        <w:rPr>
          <w:rFonts w:ascii="Calibri" w:hAnsi="Calibri" w:eastAsia="Microsoft YaHei"/>
          <w:b w:val="0"/>
          <w:i w:val="0"/>
          <w:color w:val="000000"/>
          <w:sz w:val="22"/>
        </w:rPr>
        <w:t>当前角色未观察到新增/删除入口，是否由商户端或其他角色维护需评审确认。</w:t>
      </w:r>
    </w:p>
    <w:p>
      <w:pPr>
        <w:pStyle w:val="Heading1"/>
        <w:keepNext/>
      </w:pPr>
      <w:r>
        <w:t>12  出金管理</w:t>
      </w:r>
    </w:p>
    <w:p>
      <w:pPr>
        <w:spacing w:before="0" w:after="120" w:line="300" w:lineRule="auto"/>
        <w:jc w:val="left"/>
      </w:pPr>
      <w:r>
        <w:rPr>
          <w:rFonts w:ascii="Calibri" w:hAnsi="Calibri" w:eastAsia="Microsoft YaHei"/>
          <w:b w:val="0"/>
          <w:i w:val="0"/>
          <w:color w:val="000000"/>
          <w:sz w:val="22"/>
        </w:rPr>
        <w:t>查询、复核和追踪商户资金出金，并核算手续费、抵扣和代理分润。</w:t>
      </w:r>
    </w:p>
    <w:p>
      <w:pPr>
        <w:keepLines/>
        <w:spacing w:before="80" w:after="160" w:line="276" w:lineRule="auto"/>
        <w:shd w:fill="E8EEF5"/>
        <w:pBdr>
          <w:left w:val="single" w:sz="18" w:space="8" w:color="1F4D78"/>
        </w:pBdr>
      </w:pPr>
      <w:r>
        <w:rPr>
          <w:rFonts w:ascii="Calibri" w:hAnsi="Calibri" w:eastAsia="Microsoft YaHei"/>
          <w:b/>
          <w:i w:val="0"/>
          <w:color w:val="1F4D78"/>
          <w:sz w:val="21"/>
        </w:rPr>
        <w:t>探查结论</w:t>
        <w:br/>
      </w:r>
      <w:r>
        <w:rPr>
          <w:rFonts w:ascii="Calibri" w:hAnsi="Calibri" w:eastAsia="Microsoft YaHei"/>
          <w:b w:val="0"/>
          <w:i w:val="0"/>
          <w:color w:val="000000"/>
          <w:sz w:val="20"/>
        </w:rPr>
        <w:t>[已观察] 可按商户、渠道、状态、操作方式、出金类型、多级流水号和时间查询；详情显示收款账户、复核状态及多层代理分润。</w:t>
      </w:r>
    </w:p>
    <w:p>
      <w:pPr>
        <w:pStyle w:val="Heading2"/>
        <w:keepNext/>
      </w:pPr>
      <w:r>
        <w:t>功能需求</w:t>
      </w:r>
    </w:p>
    <w:tbl>
      <w:tblPr>
        <w:tblW w:type="dxa" w:w="9360"/>
        <w:jc w:val="left"/>
        <w:tblLayout w:type="fixed"/>
        <w:tblLook w:firstColumn="1" w:firstRow="1" w:lastColumn="0" w:lastRow="0" w:noHBand="0" w:noVBand="1" w:val="04A0"/>
        <w:tblInd w:type="dxa" w:w="120"/>
      </w:tblPr>
      <w:tblGrid>
        <w:gridCol w:w="1120"/>
        <w:gridCol w:w="680"/>
        <w:gridCol w:w="4120"/>
        <w:gridCol w:w="3440"/>
      </w:tblGrid>
      <w:tr>
        <w:trPr>
          <w:tblHeader w:val="true"/>
        </w:trPr>
        <w:tc>
          <w:tcPr>
            <w:tcW w:type="dxa" w:w="112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需求 ID</w:t>
            </w:r>
          </w:p>
        </w:tc>
        <w:tc>
          <w:tcPr>
            <w:tcW w:type="dxa" w:w="68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优先级</w:t>
            </w:r>
          </w:p>
        </w:tc>
        <w:tc>
          <w:tcPr>
            <w:tcW w:type="dxa" w:w="412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功能需求</w:t>
            </w:r>
          </w:p>
        </w:tc>
        <w:tc>
          <w:tcPr>
            <w:tcW w:type="dxa" w:w="344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关键验收点</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FR-WD-001</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支持多条件出金查询与分页。</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精确流水号返回唯一匹配。</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FR-WD-002</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汇总总笔数、成功笔数和成功金额。</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汇总针对全部筛选结果而非当前页。</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FR-WD-003</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详情展示金额、手续费、抵扣、收款账户和流水。</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金额守恒且字段脱敏。</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FR-WD-004</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展示各层代理费率、固定费用、分润比例和利润。</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公式与历史费率版本一致。</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FR-WD-005</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校验余额、限额和业务流水唯一性。</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不得重复出金或超额扣款。</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FR-WD-006</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执行经办与复核分离及支付密码/MFA。</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未复核不得调用渠道。</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FR-WD-007</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跟踪受理、处理中、成功和失败状态。</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结果不确定时不得重复扣款。</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FR-WD-008</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失败时执行退款或资金解冻并可核对。</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资金分录和状态最终一致。</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FR-WD-009</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P1</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无分润明细时显示稳定空态。</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页面不得发生脚本异常。</w:t>
            </w:r>
          </w:p>
        </w:tc>
      </w:tr>
    </w:tbl>
    <w:p>
      <w:pPr>
        <w:spacing w:after="40"/>
      </w:pPr>
    </w:p>
    <w:p>
      <w:pPr>
        <w:pStyle w:val="Heading2"/>
        <w:keepNext/>
      </w:pPr>
      <w:r>
        <w:t>业务规则</w:t>
      </w:r>
    </w:p>
    <w:p>
      <w:pPr>
        <w:pStyle w:val="ListBullet"/>
        <w:spacing w:after="80" w:line="300" w:lineRule="auto"/>
      </w:pPr>
      <w:r>
        <w:rPr>
          <w:rFonts w:ascii="Calibri" w:hAnsi="Calibri" w:eastAsia="Microsoft YaHei"/>
          <w:b w:val="0"/>
          <w:i w:val="0"/>
          <w:color w:val="000000"/>
          <w:sz w:val="22"/>
        </w:rPr>
        <w:t>金额采用定点数并统一舍入规则。</w:t>
      </w:r>
    </w:p>
    <w:p>
      <w:pPr>
        <w:pStyle w:val="ListBullet"/>
        <w:spacing w:after="80" w:line="300" w:lineRule="auto"/>
      </w:pPr>
      <w:r>
        <w:rPr>
          <w:rFonts w:ascii="Calibri" w:hAnsi="Calibri" w:eastAsia="Microsoft YaHei"/>
          <w:b w:val="0"/>
          <w:i w:val="0"/>
          <w:color w:val="000000"/>
          <w:sz w:val="22"/>
        </w:rPr>
        <w:t>经办人与复核人不得为同一账号。</w:t>
      </w:r>
    </w:p>
    <w:p>
      <w:pPr>
        <w:pStyle w:val="Heading2"/>
        <w:keepNext/>
      </w:pPr>
      <w:r>
        <w:t>异常与边界</w:t>
      </w:r>
    </w:p>
    <w:p>
      <w:pPr>
        <w:pStyle w:val="ListBullet"/>
        <w:spacing w:after="80" w:line="300" w:lineRule="auto"/>
      </w:pPr>
      <w:r>
        <w:rPr>
          <w:rFonts w:ascii="Calibri" w:hAnsi="Calibri" w:eastAsia="Microsoft YaHei"/>
          <w:b w:val="0"/>
          <w:i w:val="0"/>
          <w:color w:val="000000"/>
          <w:sz w:val="22"/>
        </w:rPr>
        <w:t>渠道超时、退票、冲正和结果不确定必须进入异常队列并阻止重复扣款。</w:t>
      </w:r>
    </w:p>
    <w:p>
      <w:pPr>
        <w:pStyle w:val="Heading1"/>
        <w:keepNext/>
      </w:pPr>
      <w:r>
        <w:t>13  交易订单</w:t>
      </w:r>
    </w:p>
    <w:p>
      <w:pPr>
        <w:spacing w:before="0" w:after="120" w:line="300" w:lineRule="auto"/>
        <w:jc w:val="left"/>
      </w:pPr>
      <w:r>
        <w:rPr>
          <w:rFonts w:ascii="Calibri" w:hAnsi="Calibri" w:eastAsia="Microsoft YaHei"/>
          <w:b w:val="0"/>
          <w:i w:val="0"/>
          <w:color w:val="000000"/>
          <w:sz w:val="22"/>
        </w:rPr>
        <w:t>统一追踪商户入金订单、三方流水、费用、入账及通知状态。</w:t>
      </w:r>
    </w:p>
    <w:p>
      <w:pPr>
        <w:keepLines/>
        <w:spacing w:before="80" w:after="160" w:line="276" w:lineRule="auto"/>
        <w:shd w:fill="E8EEF5"/>
        <w:pBdr>
          <w:left w:val="single" w:sz="18" w:space="8" w:color="1F4D78"/>
        </w:pBdr>
      </w:pPr>
      <w:r>
        <w:rPr>
          <w:rFonts w:ascii="Calibri" w:hAnsi="Calibri" w:eastAsia="Microsoft YaHei"/>
          <w:b/>
          <w:i w:val="0"/>
          <w:color w:val="1F4D78"/>
          <w:sz w:val="21"/>
        </w:rPr>
        <w:t>探查结论</w:t>
        <w:br/>
      </w:r>
      <w:r>
        <w:rPr>
          <w:rFonts w:ascii="Calibri" w:hAnsi="Calibri" w:eastAsia="Microsoft YaHei"/>
          <w:b w:val="0"/>
          <w:i w:val="0"/>
          <w:color w:val="000000"/>
          <w:sz w:val="20"/>
        </w:rPr>
        <w:t>[已观察] 支持代理、商户、商品、金额、状态、三方订单号、渠道、支付方式和日期查询；列表展示支付与通知两个独立状态，并支持导出。</w:t>
      </w:r>
    </w:p>
    <w:p>
      <w:pPr>
        <w:pStyle w:val="Heading2"/>
        <w:keepNext/>
      </w:pPr>
      <w:r>
        <w:t>功能需求</w:t>
      </w:r>
    </w:p>
    <w:tbl>
      <w:tblPr>
        <w:tblW w:type="dxa" w:w="9360"/>
        <w:jc w:val="left"/>
        <w:tblLayout w:type="fixed"/>
        <w:tblLook w:firstColumn="1" w:firstRow="1" w:lastColumn="0" w:lastRow="0" w:noHBand="0" w:noVBand="1" w:val="04A0"/>
        <w:tblInd w:type="dxa" w:w="120"/>
      </w:tblPr>
      <w:tblGrid>
        <w:gridCol w:w="1120"/>
        <w:gridCol w:w="680"/>
        <w:gridCol w:w="4120"/>
        <w:gridCol w:w="3440"/>
      </w:tblGrid>
      <w:tr>
        <w:trPr>
          <w:tblHeader w:val="true"/>
        </w:trPr>
        <w:tc>
          <w:tcPr>
            <w:tcW w:type="dxa" w:w="112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需求 ID</w:t>
            </w:r>
          </w:p>
        </w:tc>
        <w:tc>
          <w:tcPr>
            <w:tcW w:type="dxa" w:w="68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优先级</w:t>
            </w:r>
          </w:p>
        </w:tc>
        <w:tc>
          <w:tcPr>
            <w:tcW w:type="dxa" w:w="412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功能需求</w:t>
            </w:r>
          </w:p>
        </w:tc>
        <w:tc>
          <w:tcPr>
            <w:tcW w:type="dxa" w:w="344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关键验收点</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FR-ORD-001</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支持多条件查询、金额区间和分页。</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编号枚举不能越权。</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FR-ORD-002</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建立商户、平台和渠道订单号关联。</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可从任一编号追踪同一交易。</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FR-ORD-003</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展示订单、实付、手续费和入账金额。</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金额公式与报表一致。</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FR-ORD-004</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支付状态与通知状态独立维护。</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支付成功通知失败可识别。</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FR-ORD-005</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渠道回调验签、幂等和防重放。</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重复通知不重复入账。</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FR-ORD-006</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P1</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支持受控的商户通知重试。</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记录次数、结果和最后时间。</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FR-ORD-007</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保留退款金额与原始交易，不覆盖原订单。</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退款后净额和状态可追溯。</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FR-ORD-008</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导出遵循筛选、字段和数据权限。</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大数据量异步导出并限时下载。</w:t>
            </w:r>
          </w:p>
        </w:tc>
      </w:tr>
    </w:tbl>
    <w:p>
      <w:pPr>
        <w:spacing w:after="40"/>
      </w:pPr>
    </w:p>
    <w:p>
      <w:pPr>
        <w:pStyle w:val="Heading2"/>
        <w:keepNext/>
      </w:pPr>
      <w:r>
        <w:t>业务规则</w:t>
      </w:r>
    </w:p>
    <w:p>
      <w:pPr>
        <w:pStyle w:val="ListBullet"/>
        <w:spacing w:after="80" w:line="300" w:lineRule="auto"/>
      </w:pPr>
      <w:r>
        <w:rPr>
          <w:rFonts w:ascii="Calibri" w:hAnsi="Calibri" w:eastAsia="Microsoft YaHei"/>
          <w:b w:val="0"/>
          <w:i w:val="0"/>
          <w:color w:val="000000"/>
          <w:sz w:val="22"/>
        </w:rPr>
        <w:t>支付、入账、退款、通知状态应正交建模。</w:t>
      </w:r>
    </w:p>
    <w:p>
      <w:pPr>
        <w:pStyle w:val="ListBullet"/>
        <w:spacing w:after="80" w:line="300" w:lineRule="auto"/>
      </w:pPr>
      <w:r>
        <w:rPr>
          <w:rFonts w:ascii="Calibri" w:hAnsi="Calibri" w:eastAsia="Microsoft YaHei"/>
          <w:b w:val="0"/>
          <w:i w:val="0"/>
          <w:color w:val="000000"/>
          <w:sz w:val="22"/>
        </w:rPr>
        <w:t>订单和回调时间统一记录业务时区与原始渠道时间。</w:t>
      </w:r>
    </w:p>
    <w:p>
      <w:pPr>
        <w:pStyle w:val="Heading2"/>
        <w:keepNext/>
      </w:pPr>
      <w:r>
        <w:t>异常与边界</w:t>
      </w:r>
    </w:p>
    <w:p>
      <w:pPr>
        <w:pStyle w:val="ListBullet"/>
        <w:spacing w:after="80" w:line="300" w:lineRule="auto"/>
      </w:pPr>
      <w:r>
        <w:rPr>
          <w:rFonts w:ascii="Calibri" w:hAnsi="Calibri" w:eastAsia="Microsoft YaHei"/>
          <w:b w:val="0"/>
          <w:i w:val="0"/>
          <w:color w:val="000000"/>
          <w:sz w:val="22"/>
        </w:rPr>
        <w:t>当前页面可见“已退款”状态，但未发现退款发起、部分退款、撤销或冲正入口。</w:t>
      </w:r>
    </w:p>
    <w:p>
      <w:pPr>
        <w:pStyle w:val="Heading1"/>
        <w:keepNext/>
      </w:pPr>
      <w:r>
        <w:t>14  统计报表</w:t>
      </w:r>
    </w:p>
    <w:p>
      <w:pPr>
        <w:spacing w:before="0" w:after="120" w:line="300" w:lineRule="auto"/>
        <w:jc w:val="left"/>
      </w:pPr>
      <w:r>
        <w:rPr>
          <w:rFonts w:ascii="Calibri" w:hAnsi="Calibri" w:eastAsia="Microsoft YaHei"/>
          <w:b w:val="0"/>
          <w:i w:val="0"/>
          <w:color w:val="000000"/>
          <w:sz w:val="22"/>
        </w:rPr>
        <w:t>为代理与商户提供日/月维度的交易、入账、费用和退款统计。</w:t>
      </w:r>
    </w:p>
    <w:p>
      <w:pPr>
        <w:keepLines/>
        <w:spacing w:before="80" w:after="160" w:line="276" w:lineRule="auto"/>
        <w:shd w:fill="E8EEF5"/>
        <w:pBdr>
          <w:left w:val="single" w:sz="18" w:space="8" w:color="1F4D78"/>
        </w:pBdr>
      </w:pPr>
      <w:r>
        <w:rPr>
          <w:rFonts w:ascii="Calibri" w:hAnsi="Calibri" w:eastAsia="Microsoft YaHei"/>
          <w:b/>
          <w:i w:val="0"/>
          <w:color w:val="1F4D78"/>
          <w:sz w:val="21"/>
        </w:rPr>
        <w:t>探查结论</w:t>
        <w:br/>
      </w:r>
      <w:r>
        <w:rPr>
          <w:rFonts w:ascii="Calibri" w:hAnsi="Calibri" w:eastAsia="Microsoft YaHei"/>
          <w:b w:val="0"/>
          <w:i w:val="0"/>
          <w:color w:val="000000"/>
          <w:sz w:val="20"/>
        </w:rPr>
        <w:t>[已观察] 提供商户日报、商户月报、代理日报和代理月报，支持日期、主体、渠道、支付方式筛选，并提供统计与导出。</w:t>
      </w:r>
    </w:p>
    <w:p>
      <w:pPr>
        <w:pStyle w:val="Heading2"/>
        <w:keepNext/>
      </w:pPr>
      <w:r>
        <w:t>功能需求</w:t>
      </w:r>
    </w:p>
    <w:tbl>
      <w:tblPr>
        <w:tblW w:type="dxa" w:w="9360"/>
        <w:jc w:val="left"/>
        <w:tblLayout w:type="fixed"/>
        <w:tblLook w:firstColumn="1" w:firstRow="1" w:lastColumn="0" w:lastRow="0" w:noHBand="0" w:noVBand="1" w:val="04A0"/>
        <w:tblInd w:type="dxa" w:w="120"/>
      </w:tblPr>
      <w:tblGrid>
        <w:gridCol w:w="1120"/>
        <w:gridCol w:w="680"/>
        <w:gridCol w:w="4120"/>
        <w:gridCol w:w="3440"/>
      </w:tblGrid>
      <w:tr>
        <w:trPr>
          <w:tblHeader w:val="true"/>
        </w:trPr>
        <w:tc>
          <w:tcPr>
            <w:tcW w:type="dxa" w:w="112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需求 ID</w:t>
            </w:r>
          </w:p>
        </w:tc>
        <w:tc>
          <w:tcPr>
            <w:tcW w:type="dxa" w:w="68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优先级</w:t>
            </w:r>
          </w:p>
        </w:tc>
        <w:tc>
          <w:tcPr>
            <w:tcW w:type="dxa" w:w="412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功能需求</w:t>
            </w:r>
          </w:p>
        </w:tc>
        <w:tc>
          <w:tcPr>
            <w:tcW w:type="dxa" w:w="344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关键验收点</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FR-RPT-001</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提供四类固定报表。</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维度、字段和权限范围正确。</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FR-RPT-002</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统计总笔数、成功笔数、成功金额、入账与手续费。</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指标口径可查且一致。</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FR-RPT-003</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统计退款笔数和退款金额。</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迟到退款按规则回溯或调整。</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FR-RPT-004</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处理自然日、月末、跨年和时区边界。</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日报月报汇总关系成立。</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FR-RPT-005</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页面总计针对全部筛选结果。</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不得仅汇总当前页。</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FR-RPT-006</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导出与页面筛选和指标口径一致。</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列名、精度、空值与日期格式统一。</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FR-RPT-007</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P1</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迟到数据、冲正和补单可追溯。</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保留调整前后结果与原因。</w:t>
            </w:r>
          </w:p>
        </w:tc>
      </w:tr>
    </w:tbl>
    <w:p>
      <w:pPr>
        <w:spacing w:after="40"/>
      </w:pPr>
    </w:p>
    <w:p>
      <w:pPr>
        <w:pStyle w:val="Heading2"/>
        <w:keepNext/>
      </w:pPr>
      <w:r>
        <w:t>业务规则</w:t>
      </w:r>
    </w:p>
    <w:p>
      <w:pPr>
        <w:pStyle w:val="ListBullet"/>
        <w:spacing w:after="80" w:line="300" w:lineRule="auto"/>
      </w:pPr>
      <w:r>
        <w:rPr>
          <w:rFonts w:ascii="Calibri" w:hAnsi="Calibri" w:eastAsia="Microsoft YaHei"/>
          <w:b w:val="0"/>
          <w:i w:val="0"/>
          <w:color w:val="000000"/>
          <w:sz w:val="22"/>
        </w:rPr>
        <w:t>必须明确交易归属采用创建、支付还是入账时间。</w:t>
      </w:r>
    </w:p>
    <w:p>
      <w:pPr>
        <w:pStyle w:val="ListBullet"/>
        <w:spacing w:after="80" w:line="300" w:lineRule="auto"/>
      </w:pPr>
      <w:r>
        <w:rPr>
          <w:rFonts w:ascii="Calibri" w:hAnsi="Calibri" w:eastAsia="Microsoft YaHei"/>
          <w:b w:val="0"/>
          <w:i w:val="0"/>
          <w:color w:val="000000"/>
          <w:sz w:val="22"/>
        </w:rPr>
        <w:t>月报应等于同口径日报汇总及调整项。</w:t>
      </w:r>
    </w:p>
    <w:p>
      <w:pPr>
        <w:pStyle w:val="Heading2"/>
        <w:keepNext/>
      </w:pPr>
      <w:r>
        <w:t>异常与边界</w:t>
      </w:r>
    </w:p>
    <w:p>
      <w:pPr>
        <w:pStyle w:val="ListBullet"/>
        <w:spacing w:after="80" w:line="300" w:lineRule="auto"/>
      </w:pPr>
      <w:r>
        <w:rPr>
          <w:rFonts w:ascii="Calibri" w:hAnsi="Calibri" w:eastAsia="Microsoft YaHei"/>
          <w:b w:val="0"/>
          <w:i w:val="0"/>
          <w:color w:val="000000"/>
          <w:sz w:val="22"/>
        </w:rPr>
        <w:t>接口失败时“--”与真实零值必须区别展示。</w:t>
      </w:r>
    </w:p>
    <w:p>
      <w:pPr>
        <w:pStyle w:val="Heading1"/>
        <w:keepNext/>
      </w:pPr>
      <w:r>
        <w:t>15  代金券营销</w:t>
      </w:r>
    </w:p>
    <w:p>
      <w:pPr>
        <w:spacing w:before="0" w:after="120" w:line="300" w:lineRule="auto"/>
        <w:jc w:val="left"/>
      </w:pPr>
      <w:r>
        <w:rPr>
          <w:rFonts w:ascii="Calibri" w:hAnsi="Calibri" w:eastAsia="Microsoft YaHei"/>
          <w:b w:val="0"/>
          <w:i w:val="0"/>
          <w:color w:val="000000"/>
          <w:sz w:val="22"/>
        </w:rPr>
        <w:t>通过可核销额度抵扣相关服务或出金费用，并管理生命周期。</w:t>
      </w:r>
    </w:p>
    <w:p>
      <w:pPr>
        <w:keepLines/>
        <w:spacing w:before="80" w:after="160" w:line="276" w:lineRule="auto"/>
        <w:shd w:fill="E8EEF5"/>
        <w:pBdr>
          <w:left w:val="single" w:sz="18" w:space="8" w:color="1F4D78"/>
        </w:pBdr>
      </w:pPr>
      <w:r>
        <w:rPr>
          <w:rFonts w:ascii="Calibri" w:hAnsi="Calibri" w:eastAsia="Microsoft YaHei"/>
          <w:b/>
          <w:i w:val="0"/>
          <w:color w:val="1F4D78"/>
          <w:sz w:val="21"/>
        </w:rPr>
        <w:t>探查结论</w:t>
        <w:br/>
      </w:r>
      <w:r>
        <w:rPr>
          <w:rFonts w:ascii="Calibri" w:hAnsi="Calibri" w:eastAsia="Microsoft YaHei"/>
          <w:b w:val="0"/>
          <w:i w:val="0"/>
          <w:color w:val="000000"/>
          <w:sz w:val="20"/>
        </w:rPr>
        <w:t>[已观察] 页面包含发券方、商户、核销编码、金额、可用额、已用额、有效期、有效天数和状态；当前无数据，批量下发按钮禁用。</w:t>
      </w:r>
    </w:p>
    <w:p>
      <w:pPr>
        <w:pStyle w:val="Heading2"/>
        <w:keepNext/>
      </w:pPr>
      <w:r>
        <w:t>功能需求</w:t>
      </w:r>
    </w:p>
    <w:tbl>
      <w:tblPr>
        <w:tblW w:type="dxa" w:w="9360"/>
        <w:jc w:val="left"/>
        <w:tblLayout w:type="fixed"/>
        <w:tblLook w:firstColumn="1" w:firstRow="1" w:lastColumn="0" w:lastRow="0" w:noHBand="0" w:noVBand="1" w:val="04A0"/>
        <w:tblInd w:type="dxa" w:w="120"/>
      </w:tblPr>
      <w:tblGrid>
        <w:gridCol w:w="1120"/>
        <w:gridCol w:w="680"/>
        <w:gridCol w:w="4120"/>
        <w:gridCol w:w="3440"/>
      </w:tblGrid>
      <w:tr>
        <w:trPr>
          <w:tblHeader w:val="true"/>
        </w:trPr>
        <w:tc>
          <w:tcPr>
            <w:tcW w:type="dxa" w:w="112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需求 ID</w:t>
            </w:r>
          </w:p>
        </w:tc>
        <w:tc>
          <w:tcPr>
            <w:tcW w:type="dxa" w:w="68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优先级</w:t>
            </w:r>
          </w:p>
        </w:tc>
        <w:tc>
          <w:tcPr>
            <w:tcW w:type="dxa" w:w="412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功能需求</w:t>
            </w:r>
          </w:p>
        </w:tc>
        <w:tc>
          <w:tcPr>
            <w:tcW w:type="dxa" w:w="344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关键验收点</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FR-VOU-001</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P1</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按核销编码、金额、过期时间和状态查询。</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权限范围和分页正确。</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FR-VOU-002</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P1</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展示面额、可用额、已用额和生命周期状态。</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余额关系符合规则。</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FR-VOU-003</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P1</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批量下发前选择目标、面额和有效期。</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显示目标数量与预计总额并二次确认。</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FR-VOU-004</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核销不得超额或产生负余额。</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并发核销保持原子性。</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FR-VOU-005</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P1</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支持待生效、可用、部分使用、用完、过期和作废。</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状态按时间和余额自动流转。</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FR-VOU-006</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P1</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核销记录关联对应出金或业务单据。</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退款时是否返还按明确规则处理。</w:t>
            </w:r>
          </w:p>
        </w:tc>
      </w:tr>
    </w:tbl>
    <w:p>
      <w:pPr>
        <w:spacing w:after="40"/>
      </w:pPr>
    </w:p>
    <w:p>
      <w:pPr>
        <w:pStyle w:val="Heading2"/>
        <w:keepNext/>
      </w:pPr>
      <w:r>
        <w:t>业务规则</w:t>
      </w:r>
    </w:p>
    <w:p>
      <w:pPr>
        <w:pStyle w:val="ListBullet"/>
        <w:spacing w:after="80" w:line="300" w:lineRule="auto"/>
      </w:pPr>
      <w:r>
        <w:rPr>
          <w:rFonts w:ascii="Calibri" w:hAnsi="Calibri" w:eastAsia="Microsoft YaHei"/>
          <w:b w:val="0"/>
          <w:i w:val="0"/>
          <w:color w:val="000000"/>
          <w:sz w:val="22"/>
        </w:rPr>
        <w:t>批量下发按钮在未选择目标或无权限时保持禁用。</w:t>
      </w:r>
    </w:p>
    <w:p>
      <w:pPr>
        <w:pStyle w:val="ListBullet"/>
        <w:spacing w:after="80" w:line="300" w:lineRule="auto"/>
      </w:pPr>
      <w:r>
        <w:rPr>
          <w:rFonts w:ascii="Calibri" w:hAnsi="Calibri" w:eastAsia="Microsoft YaHei"/>
          <w:b w:val="0"/>
          <w:i w:val="0"/>
          <w:color w:val="000000"/>
          <w:sz w:val="22"/>
        </w:rPr>
        <w:t>叠加、撤回、成本归属和退款返还属于待确认规则。</w:t>
      </w:r>
    </w:p>
    <w:p>
      <w:pPr>
        <w:pStyle w:val="Heading2"/>
        <w:keepNext/>
      </w:pPr>
      <w:r>
        <w:t>异常与边界</w:t>
      </w:r>
    </w:p>
    <w:p>
      <w:pPr>
        <w:pStyle w:val="ListBullet"/>
        <w:spacing w:after="80" w:line="300" w:lineRule="auto"/>
      </w:pPr>
      <w:r>
        <w:rPr>
          <w:rFonts w:ascii="Calibri" w:hAnsi="Calibri" w:eastAsia="Microsoft YaHei"/>
          <w:b w:val="0"/>
          <w:i w:val="0"/>
          <w:color w:val="000000"/>
          <w:sz w:val="22"/>
        </w:rPr>
        <w:t>当前无样本数据，实际发券表单和核销动作未通过只读探查确认。</w:t>
      </w:r>
    </w:p>
    <w:p>
      <w:pPr>
        <w:pStyle w:val="Heading1"/>
        <w:keepNext/>
      </w:pPr>
      <w:r>
        <w:t>16  个人中心与账户安全</w:t>
      </w:r>
    </w:p>
    <w:p>
      <w:pPr>
        <w:spacing w:before="0" w:after="120" w:line="300" w:lineRule="auto"/>
        <w:jc w:val="left"/>
      </w:pPr>
      <w:r>
        <w:rPr>
          <w:rFonts w:ascii="Calibri" w:hAnsi="Calibri" w:eastAsia="Microsoft YaHei"/>
          <w:b w:val="0"/>
          <w:i w:val="0"/>
          <w:color w:val="000000"/>
          <w:sz w:val="22"/>
        </w:rPr>
        <w:t>维护个人资料、登录凭据、支付凭据和跨集群账户授权。</w:t>
      </w:r>
    </w:p>
    <w:p>
      <w:pPr>
        <w:keepLines/>
        <w:spacing w:before="80" w:after="160" w:line="276" w:lineRule="auto"/>
        <w:shd w:fill="E8EEF5"/>
        <w:pBdr>
          <w:left w:val="single" w:sz="18" w:space="8" w:color="1F4D78"/>
        </w:pBdr>
      </w:pPr>
      <w:r>
        <w:rPr>
          <w:rFonts w:ascii="Calibri" w:hAnsi="Calibri" w:eastAsia="Microsoft YaHei"/>
          <w:b/>
          <w:i w:val="0"/>
          <w:color w:val="1F4D78"/>
          <w:sz w:val="21"/>
        </w:rPr>
        <w:t>探查结论</w:t>
        <w:br/>
      </w:r>
      <w:r>
        <w:rPr>
          <w:rFonts w:ascii="Calibri" w:hAnsi="Calibri" w:eastAsia="Microsoft YaHei"/>
          <w:b w:val="0"/>
          <w:i w:val="0"/>
          <w:color w:val="000000"/>
          <w:sz w:val="20"/>
        </w:rPr>
        <w:t>[已观察] 支持短信验证码修改资料、修改登录密码、修改支付密码，以及通过支付密码、短信验证码和授权函进行集群账户授权。</w:t>
      </w:r>
    </w:p>
    <w:p>
      <w:pPr>
        <w:pStyle w:val="Heading2"/>
        <w:keepNext/>
      </w:pPr>
      <w:r>
        <w:t>功能需求</w:t>
      </w:r>
    </w:p>
    <w:tbl>
      <w:tblPr>
        <w:tblW w:type="dxa" w:w="9360"/>
        <w:jc w:val="left"/>
        <w:tblLayout w:type="fixed"/>
        <w:tblLook w:firstColumn="1" w:firstRow="1" w:lastColumn="0" w:lastRow="0" w:noHBand="0" w:noVBand="1" w:val="04A0"/>
        <w:tblInd w:type="dxa" w:w="120"/>
      </w:tblPr>
      <w:tblGrid>
        <w:gridCol w:w="1120"/>
        <w:gridCol w:w="680"/>
        <w:gridCol w:w="4120"/>
        <w:gridCol w:w="3440"/>
      </w:tblGrid>
      <w:tr>
        <w:trPr>
          <w:tblHeader w:val="true"/>
        </w:trPr>
        <w:tc>
          <w:tcPr>
            <w:tcW w:type="dxa" w:w="112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需求 ID</w:t>
            </w:r>
          </w:p>
        </w:tc>
        <w:tc>
          <w:tcPr>
            <w:tcW w:type="dxa" w:w="68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优先级</w:t>
            </w:r>
          </w:p>
        </w:tc>
        <w:tc>
          <w:tcPr>
            <w:tcW w:type="dxa" w:w="412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功能需求</w:t>
            </w:r>
          </w:p>
        </w:tc>
        <w:tc>
          <w:tcPr>
            <w:tcW w:type="dxa" w:w="344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关键验收点</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FR-SEC-001</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关键资料修改必须完成短信或等效身份验证。</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验证码有有效期、频控和错误阈值。</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FR-SEC-002</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登录密码修改校验旧密码、强度和两次一致。</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密码字段掩码且不进入日志。</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FR-SEC-003</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登录密码修改后按策略吊销其他会话。</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用户收到安全通知。</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FR-SEC-004</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支付密码独立存储、校验与锁定。</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修改/重置需旧密码或强化身份核验。</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FR-SEC-005</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支付密码输入控件必须使用 password 类型。</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页面和浏览器工具不显示明文。</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FR-SEC-006</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集群账户授权校验账号、主体、支付密码和短信码。</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授权范围、期限和审批状态可追踪。</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FR-SEC-007</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授权函仅允许 PDF/JPG/JPEG/PNG 且不超过 20MB。</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服务端识别实际文件类型并病毒扫描。</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FR-SEC-008</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P0</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账号停用和重大权限变更后会话失效。</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浏览器返回或缓存不可继续查看敏感数据。</w:t>
            </w:r>
          </w:p>
        </w:tc>
      </w:tr>
      <w:tr>
        <w:trPr>
          <w:cantSplit/>
        </w:trPr>
        <w:tc>
          <w:tcPr>
            <w:tcW w:type="dxa" w:w="1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FR-SEC-009</w:t>
            </w:r>
          </w:p>
        </w:tc>
        <w:tc>
          <w:tcPr>
            <w:tcW w:type="dxa" w:w="68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P1</w:t>
            </w:r>
          </w:p>
        </w:tc>
        <w:tc>
          <w:tcPr>
            <w:tcW w:type="dxa" w:w="412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提供登录设备、会话和安全事件查询。</w:t>
            </w:r>
          </w:p>
        </w:tc>
        <w:tc>
          <w:tcPr>
            <w:tcW w:type="dxa" w:w="344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用户可撤销异常会话。</w:t>
            </w:r>
          </w:p>
        </w:tc>
      </w:tr>
    </w:tbl>
    <w:p>
      <w:pPr>
        <w:spacing w:after="40"/>
      </w:pPr>
    </w:p>
    <w:p>
      <w:pPr>
        <w:pStyle w:val="Heading2"/>
        <w:keepNext/>
      </w:pPr>
      <w:r>
        <w:t>业务规则</w:t>
      </w:r>
    </w:p>
    <w:p>
      <w:pPr>
        <w:pStyle w:val="ListBullet"/>
        <w:spacing w:after="80" w:line="300" w:lineRule="auto"/>
      </w:pPr>
      <w:r>
        <w:rPr>
          <w:rFonts w:ascii="Calibri" w:hAnsi="Calibri" w:eastAsia="Microsoft YaHei"/>
          <w:b w:val="0"/>
          <w:i w:val="0"/>
          <w:color w:val="000000"/>
          <w:sz w:val="22"/>
        </w:rPr>
        <w:t>登录密码与支付密码必须采用不同密钥域和失败计数。</w:t>
      </w:r>
    </w:p>
    <w:p>
      <w:pPr>
        <w:pStyle w:val="ListBullet"/>
        <w:spacing w:after="80" w:line="300" w:lineRule="auto"/>
      </w:pPr>
      <w:r>
        <w:rPr>
          <w:rFonts w:ascii="Calibri" w:hAnsi="Calibri" w:eastAsia="Microsoft YaHei"/>
          <w:b w:val="0"/>
          <w:i w:val="0"/>
          <w:color w:val="000000"/>
          <w:sz w:val="22"/>
        </w:rPr>
        <w:t>支付密码连续失败达到阈值后锁定并触发告警。</w:t>
      </w:r>
    </w:p>
    <w:p>
      <w:pPr>
        <w:pStyle w:val="Heading2"/>
        <w:keepNext/>
      </w:pPr>
      <w:r>
        <w:t>异常与边界</w:t>
      </w:r>
    </w:p>
    <w:p>
      <w:pPr>
        <w:pStyle w:val="ListBullet"/>
        <w:spacing w:after="80" w:line="300" w:lineRule="auto"/>
      </w:pPr>
      <w:r>
        <w:rPr>
          <w:rFonts w:ascii="Calibri" w:hAnsi="Calibri" w:eastAsia="Microsoft YaHei"/>
          <w:b w:val="0"/>
          <w:i w:val="0"/>
          <w:color w:val="000000"/>
          <w:sz w:val="22"/>
        </w:rPr>
        <w:t>探查发现登录密码页面输入控件为普通文本类型；支付密码修改页未观察到旧支付密码或短信验证字段，必须整改或确认后端补偿控制。</w:t>
      </w:r>
    </w:p>
    <w:p>
      <w:pPr>
        <w:pStyle w:val="Heading1"/>
        <w:keepNext/>
      </w:pPr>
      <w:r>
        <w:t>17  状态机</w:t>
      </w:r>
    </w:p>
    <w:tbl>
      <w:tblPr>
        <w:tblW w:type="dxa" w:w="9360"/>
        <w:jc w:val="left"/>
        <w:tblLayout w:type="fixed"/>
        <w:tblLook w:firstColumn="1" w:firstRow="1" w:lastColumn="0" w:lastRow="0" w:noHBand="0" w:noVBand="1" w:val="04A0"/>
        <w:tblInd w:type="dxa" w:w="120"/>
      </w:tblPr>
      <w:tblGrid>
        <w:gridCol w:w="1450"/>
        <w:gridCol w:w="4100"/>
        <w:gridCol w:w="1800"/>
        <w:gridCol w:w="2010"/>
      </w:tblGrid>
      <w:tr>
        <w:trPr>
          <w:tblHeader w:val="true"/>
        </w:trPr>
        <w:tc>
          <w:tcPr>
            <w:tcW w:type="dxa" w:w="145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对象</w:t>
            </w:r>
          </w:p>
        </w:tc>
        <w:tc>
          <w:tcPr>
            <w:tcW w:type="dxa" w:w="410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主路径</w:t>
            </w:r>
          </w:p>
        </w:tc>
        <w:tc>
          <w:tcPr>
            <w:tcW w:type="dxa" w:w="180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异常分支</w:t>
            </w:r>
          </w:p>
        </w:tc>
        <w:tc>
          <w:tcPr>
            <w:tcW w:type="dxa" w:w="201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设计要求</w:t>
            </w:r>
          </w:p>
        </w:tc>
      </w:tr>
      <w:tr>
        <w:trPr>
          <w:cantSplit/>
        </w:trPr>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商户主档</w:t>
            </w:r>
          </w:p>
        </w:tc>
        <w:tc>
          <w:tcPr>
            <w:tcW w:type="dxa" w:w="41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草稿 -&gt; 待完善 -&gt; 正常</w:t>
            </w:r>
          </w:p>
        </w:tc>
        <w:tc>
          <w:tcPr>
            <w:tcW w:type="dxa" w:w="1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驳回待补件、停用、注销</w:t>
            </w:r>
          </w:p>
        </w:tc>
        <w:tc>
          <w:tcPr>
            <w:tcW w:type="dxa" w:w="201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主档状态不得覆盖渠道状态</w:t>
            </w:r>
          </w:p>
        </w:tc>
      </w:tr>
      <w:tr>
        <w:trPr>
          <w:cantSplit/>
        </w:trPr>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渠道进件</w:t>
            </w:r>
          </w:p>
        </w:tc>
        <w:tc>
          <w:tcPr>
            <w:tcW w:type="dxa" w:w="41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未开始 -&gt; 草稿 -&gt; 待提交 -&gt; 渠道处理中 -&gt; 报备成功 -&gt; 协议待签 -&gt; 绑卡成功 -&gt; 备付金开户中 -&gt; 进件成功</w:t>
            </w:r>
          </w:p>
        </w:tc>
        <w:tc>
          <w:tcPr>
            <w:tcW w:type="dxa" w:w="1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失败、待补件、重新提交</w:t>
            </w:r>
          </w:p>
        </w:tc>
        <w:tc>
          <w:tcPr>
            <w:tcW w:type="dxa" w:w="201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每个渠道独立维护</w:t>
            </w:r>
          </w:p>
        </w:tc>
      </w:tr>
      <w:tr>
        <w:trPr>
          <w:cantSplit/>
        </w:trPr>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人工审核</w:t>
            </w:r>
          </w:p>
        </w:tc>
        <w:tc>
          <w:tcPr>
            <w:tcW w:type="dxa" w:w="41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待审核 -&gt; 审核中 -&gt; 通过</w:t>
            </w:r>
          </w:p>
        </w:tc>
        <w:tc>
          <w:tcPr>
            <w:tcW w:type="dxa" w:w="1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驳回、补件</w:t>
            </w:r>
          </w:p>
        </w:tc>
        <w:tc>
          <w:tcPr>
            <w:tcW w:type="dxa" w:w="201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AI 结论是并列维度</w:t>
            </w:r>
          </w:p>
        </w:tc>
      </w:tr>
      <w:tr>
        <w:trPr>
          <w:cantSplit/>
        </w:trPr>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调额申请</w:t>
            </w:r>
          </w:p>
        </w:tc>
        <w:tc>
          <w:tcPr>
            <w:tcW w:type="dxa" w:w="41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草稿 -&gt; 待审核 -&gt; 通过 -&gt; 生效</w:t>
            </w:r>
          </w:p>
        </w:tc>
        <w:tc>
          <w:tcPr>
            <w:tcW w:type="dxa" w:w="1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驳回、撤回、失效</w:t>
            </w:r>
          </w:p>
        </w:tc>
        <w:tc>
          <w:tcPr>
            <w:tcW w:type="dxa" w:w="201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保留原额度和目标额度</w:t>
            </w:r>
          </w:p>
        </w:tc>
      </w:tr>
      <w:tr>
        <w:trPr>
          <w:cantSplit/>
        </w:trPr>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出金</w:t>
            </w:r>
          </w:p>
        </w:tc>
        <w:tc>
          <w:tcPr>
            <w:tcW w:type="dxa" w:w="41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发起 -&gt; 待复核 -&gt; 已冻结 -&gt; 渠道处理中 -&gt; 成功</w:t>
            </w:r>
          </w:p>
        </w:tc>
        <w:tc>
          <w:tcPr>
            <w:tcW w:type="dxa" w:w="1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驳回、失败解冻、退票、冲正</w:t>
            </w:r>
          </w:p>
        </w:tc>
        <w:tc>
          <w:tcPr>
            <w:tcW w:type="dxa" w:w="201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支付结果与资金分录一致</w:t>
            </w:r>
          </w:p>
        </w:tc>
      </w:tr>
      <w:tr>
        <w:trPr>
          <w:cantSplit/>
        </w:trPr>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交易订单</w:t>
            </w:r>
          </w:p>
        </w:tc>
        <w:tc>
          <w:tcPr>
            <w:tcW w:type="dxa" w:w="41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待支付 -&gt; 支付中 -&gt; 支付成功 -&gt; 入账</w:t>
            </w:r>
          </w:p>
        </w:tc>
        <w:tc>
          <w:tcPr>
            <w:tcW w:type="dxa" w:w="1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关闭、失败、退款、冲正</w:t>
            </w:r>
          </w:p>
        </w:tc>
        <w:tc>
          <w:tcPr>
            <w:tcW w:type="dxa" w:w="201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支付/入账/退款/通知正交</w:t>
            </w:r>
          </w:p>
        </w:tc>
      </w:tr>
      <w:tr>
        <w:trPr>
          <w:cantSplit/>
        </w:trPr>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代金券</w:t>
            </w:r>
          </w:p>
        </w:tc>
        <w:tc>
          <w:tcPr>
            <w:tcW w:type="dxa" w:w="41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待生效 -&gt; 可用 -&gt; 部分使用 -&gt; 已用完</w:t>
            </w:r>
          </w:p>
        </w:tc>
        <w:tc>
          <w:tcPr>
            <w:tcW w:type="dxa" w:w="1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过期、作废</w:t>
            </w:r>
          </w:p>
        </w:tc>
        <w:tc>
          <w:tcPr>
            <w:tcW w:type="dxa" w:w="201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并发核销不产生负余额</w:t>
            </w:r>
          </w:p>
        </w:tc>
      </w:tr>
    </w:tbl>
    <w:p>
      <w:pPr>
        <w:spacing w:after="40"/>
      </w:pPr>
    </w:p>
    <w:p>
      <w:pPr>
        <w:pStyle w:val="Heading2"/>
        <w:keepNext/>
      </w:pPr>
      <w:r>
        <w:t>17.1  状态机通用约束</w:t>
      </w:r>
    </w:p>
    <w:p>
      <w:pPr>
        <w:pStyle w:val="ListBullet"/>
        <w:spacing w:after="80" w:line="300" w:lineRule="auto"/>
      </w:pPr>
      <w:r>
        <w:rPr>
          <w:rFonts w:ascii="Calibri" w:hAnsi="Calibri" w:eastAsia="Microsoft YaHei"/>
          <w:b w:val="0"/>
          <w:i w:val="0"/>
          <w:color w:val="000000"/>
          <w:sz w:val="22"/>
        </w:rPr>
        <w:t>所有状态变更均由服务端校验当前状态、操作权限和版本号。</w:t>
      </w:r>
    </w:p>
    <w:p>
      <w:pPr>
        <w:pStyle w:val="ListBullet"/>
        <w:spacing w:after="80" w:line="300" w:lineRule="auto"/>
      </w:pPr>
      <w:r>
        <w:rPr>
          <w:rFonts w:ascii="Calibri" w:hAnsi="Calibri" w:eastAsia="Microsoft YaHei"/>
          <w:b w:val="0"/>
          <w:i w:val="0"/>
          <w:color w:val="000000"/>
          <w:sz w:val="22"/>
        </w:rPr>
        <w:t>重复点击、网络重试、重复回调或乱序回调不得造成重复业务或状态倒退。</w:t>
      </w:r>
    </w:p>
    <w:p>
      <w:pPr>
        <w:pStyle w:val="ListBullet"/>
        <w:spacing w:after="80" w:line="300" w:lineRule="auto"/>
      </w:pPr>
      <w:r>
        <w:rPr>
          <w:rFonts w:ascii="Calibri" w:hAnsi="Calibri" w:eastAsia="Microsoft YaHei"/>
          <w:b w:val="0"/>
          <w:i w:val="0"/>
          <w:color w:val="000000"/>
          <w:sz w:val="22"/>
        </w:rPr>
        <w:t>每次变更记录来源、操作者/渠道、时间、前后状态、原因和关联流水。</w:t>
      </w:r>
    </w:p>
    <w:p>
      <w:pPr>
        <w:pStyle w:val="ListBullet"/>
        <w:spacing w:after="80" w:line="300" w:lineRule="auto"/>
      </w:pPr>
      <w:r>
        <w:rPr>
          <w:rFonts w:ascii="Calibri" w:hAnsi="Calibri" w:eastAsia="Microsoft YaHei"/>
          <w:b w:val="0"/>
          <w:i w:val="0"/>
          <w:color w:val="000000"/>
          <w:sz w:val="22"/>
        </w:rPr>
        <w:t>失败后恢复必须通过明确的重试、补件、撤回或人工补偿动作，不允许直接修改数据库状态。</w:t>
      </w:r>
    </w:p>
    <w:p>
      <w:pPr>
        <w:pStyle w:val="Heading1"/>
        <w:keepNext/>
      </w:pPr>
      <w:r>
        <w:t>18  数据实体与外部集成</w:t>
      </w:r>
    </w:p>
    <w:tbl>
      <w:tblPr>
        <w:tblW w:type="dxa" w:w="9360"/>
        <w:jc w:val="left"/>
        <w:tblLayout w:type="fixed"/>
        <w:tblLook w:firstColumn="1" w:firstRow="1" w:lastColumn="0" w:lastRow="0" w:noHBand="0" w:noVBand="1" w:val="04A0"/>
        <w:tblInd w:type="dxa" w:w="120"/>
      </w:tblPr>
      <w:tblGrid>
        <w:gridCol w:w="1500"/>
        <w:gridCol w:w="4850"/>
        <w:gridCol w:w="3010"/>
      </w:tblGrid>
      <w:tr>
        <w:trPr>
          <w:tblHeader w:val="true"/>
        </w:trPr>
        <w:tc>
          <w:tcPr>
            <w:tcW w:type="dxa" w:w="150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实体</w:t>
            </w:r>
          </w:p>
        </w:tc>
        <w:tc>
          <w:tcPr>
            <w:tcW w:type="dxa" w:w="485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关键字段</w:t>
            </w:r>
          </w:p>
        </w:tc>
        <w:tc>
          <w:tcPr>
            <w:tcW w:type="dxa" w:w="301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核心约束</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代理商</w:t>
            </w:r>
          </w:p>
        </w:tc>
        <w:tc>
          <w:tcPr>
            <w:tcW w:type="dxa" w:w="4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代理 ID、上级 ID、账号、名称、状态、费率版本、商户预设</w:t>
            </w:r>
          </w:p>
        </w:tc>
        <w:tc>
          <w:tcPr>
            <w:tcW w:type="dxa" w:w="301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形成组织树与分润边界</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商户</w:t>
            </w:r>
          </w:p>
        </w:tc>
        <w:tc>
          <w:tcPr>
            <w:tcW w:type="dxa" w:w="4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商户 ID、主体标识、账号、复核账号、代理、主档状态</w:t>
            </w:r>
          </w:p>
        </w:tc>
        <w:tc>
          <w:tcPr>
            <w:tcW w:type="dxa" w:w="301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统一主体与渠道关系</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进件申请</w:t>
            </w:r>
          </w:p>
        </w:tc>
        <w:tc>
          <w:tcPr>
            <w:tcW w:type="dxa" w:w="4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申请单号、商户、渠道、版本、步骤、状态、渠道反馈</w:t>
            </w:r>
          </w:p>
        </w:tc>
        <w:tc>
          <w:tcPr>
            <w:tcW w:type="dxa" w:w="301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一个商户可有多个渠道申请</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KYC 版本</w:t>
            </w:r>
          </w:p>
        </w:tc>
        <w:tc>
          <w:tcPr>
            <w:tcW w:type="dxa" w:w="4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证照、主体、人员、股东、受益人、附件、修订差异</w:t>
            </w:r>
          </w:p>
        </w:tc>
        <w:tc>
          <w:tcPr>
            <w:tcW w:type="dxa" w:w="301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历史版本不可覆盖</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结算账户</w:t>
            </w:r>
          </w:p>
        </w:tc>
        <w:tc>
          <w:tcPr>
            <w:tcW w:type="dxa" w:w="4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户名、卡号、预留手机、开户行、验证状态</w:t>
            </w:r>
          </w:p>
        </w:tc>
        <w:tc>
          <w:tcPr>
            <w:tcW w:type="dxa" w:w="301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敏感字段加密与脱敏</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费率版本</w:t>
            </w:r>
          </w:p>
        </w:tc>
        <w:tc>
          <w:tcPr>
            <w:tcW w:type="dxa" w:w="4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产品、比例费率、固定费用、分润比例、生效期</w:t>
            </w:r>
          </w:p>
        </w:tc>
        <w:tc>
          <w:tcPr>
            <w:tcW w:type="dxa" w:w="301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历史交易引用原版本</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订单</w:t>
            </w:r>
          </w:p>
        </w:tc>
        <w:tc>
          <w:tcPr>
            <w:tcW w:type="dxa" w:w="4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三方订单号、金额、费用、入账、支付/通知/退款状态</w:t>
            </w:r>
          </w:p>
        </w:tc>
        <w:tc>
          <w:tcPr>
            <w:tcW w:type="dxa" w:w="301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保证金额与回调幂等</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出金单</w:t>
            </w:r>
          </w:p>
        </w:tc>
        <w:tc>
          <w:tcPr>
            <w:tcW w:type="dxa" w:w="4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金额、手续费、抵扣、收款账户、复核、渠道结果</w:t>
            </w:r>
          </w:p>
        </w:tc>
        <w:tc>
          <w:tcPr>
            <w:tcW w:type="dxa" w:w="301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关联资金分录和分润</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代金券</w:t>
            </w:r>
          </w:p>
        </w:tc>
        <w:tc>
          <w:tcPr>
            <w:tcW w:type="dxa" w:w="4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券码、面额、余额、有效期、状态、核销明细</w:t>
            </w:r>
          </w:p>
        </w:tc>
        <w:tc>
          <w:tcPr>
            <w:tcW w:type="dxa" w:w="301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并发余额控制</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审计事件</w:t>
            </w:r>
          </w:p>
        </w:tc>
        <w:tc>
          <w:tcPr>
            <w:tcW w:type="dxa" w:w="4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主体、角色、IP、对象、前后值、结果、时间</w:t>
            </w:r>
          </w:p>
        </w:tc>
        <w:tc>
          <w:tcPr>
            <w:tcW w:type="dxa" w:w="301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不可篡改、敏感值脱敏</w:t>
            </w:r>
          </w:p>
        </w:tc>
      </w:tr>
    </w:tbl>
    <w:p>
      <w:pPr>
        <w:spacing w:after="40"/>
      </w:pPr>
    </w:p>
    <w:p>
      <w:pPr>
        <w:pStyle w:val="Heading2"/>
        <w:keepNext/>
      </w:pPr>
      <w:r>
        <w:t>18.1  外部集成</w:t>
      </w:r>
    </w:p>
    <w:tbl>
      <w:tblPr>
        <w:tblW w:type="dxa" w:w="9360"/>
        <w:jc w:val="left"/>
        <w:tblLayout w:type="fixed"/>
        <w:tblLook w:firstColumn="1" w:firstRow="1" w:lastColumn="0" w:lastRow="0" w:noHBand="0" w:noVBand="1" w:val="04A0"/>
        <w:tblInd w:type="dxa" w:w="120"/>
      </w:tblPr>
      <w:tblGrid>
        <w:gridCol w:w="1800"/>
        <w:gridCol w:w="3300"/>
        <w:gridCol w:w="4260"/>
      </w:tblGrid>
      <w:tr>
        <w:trPr>
          <w:tblHeader w:val="true"/>
        </w:trPr>
        <w:tc>
          <w:tcPr>
            <w:tcW w:type="dxa" w:w="180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8"/>
              </w:rPr>
              <w:t>集成方</w:t>
            </w:r>
          </w:p>
        </w:tc>
        <w:tc>
          <w:tcPr>
            <w:tcW w:type="dxa" w:w="330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8"/>
              </w:rPr>
              <w:t>用途</w:t>
            </w:r>
          </w:p>
        </w:tc>
        <w:tc>
          <w:tcPr>
            <w:tcW w:type="dxa" w:w="426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8"/>
              </w:rPr>
              <w:t>接口控制</w:t>
            </w:r>
          </w:p>
        </w:tc>
      </w:tr>
      <w:tr>
        <w:trPr>
          <w:cantSplit/>
        </w:trPr>
        <w:tc>
          <w:tcPr>
            <w:tcW w:type="dxa" w:w="1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银行/支付渠道</w:t>
            </w:r>
          </w:p>
        </w:tc>
        <w:tc>
          <w:tcPr>
            <w:tcW w:type="dxa" w:w="33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商户报备、签约、绑卡、开户、入金、出金、白名单、调额</w:t>
            </w:r>
          </w:p>
        </w:tc>
        <w:tc>
          <w:tcPr>
            <w:tcW w:type="dxa" w:w="42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双向签名、时间戳、防重放、幂等、重试、状态映射</w:t>
            </w:r>
          </w:p>
        </w:tc>
      </w:tr>
      <w:tr>
        <w:trPr>
          <w:cantSplit/>
        </w:trPr>
        <w:tc>
          <w:tcPr>
            <w:tcW w:type="dxa" w:w="1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AI 审核服务</w:t>
            </w:r>
          </w:p>
        </w:tc>
        <w:tc>
          <w:tcPr>
            <w:tcW w:type="dxa" w:w="33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材料识别、风险项和结论</w:t>
            </w:r>
          </w:p>
        </w:tc>
        <w:tc>
          <w:tcPr>
            <w:tcW w:type="dxa" w:w="42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模型版本、证据、置信度、超时降级、人工最终决策</w:t>
            </w:r>
          </w:p>
        </w:tc>
      </w:tr>
      <w:tr>
        <w:trPr>
          <w:cantSplit/>
        </w:trPr>
        <w:tc>
          <w:tcPr>
            <w:tcW w:type="dxa" w:w="1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短信服务</w:t>
            </w:r>
          </w:p>
        </w:tc>
        <w:tc>
          <w:tcPr>
            <w:tcW w:type="dxa" w:w="33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验证码与安全通知</w:t>
            </w:r>
          </w:p>
        </w:tc>
        <w:tc>
          <w:tcPr>
            <w:tcW w:type="dxa" w:w="42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频控、有效期、错误阈值、模板审计、供应商容灾</w:t>
            </w:r>
          </w:p>
        </w:tc>
      </w:tr>
      <w:tr>
        <w:trPr>
          <w:cantSplit/>
        </w:trPr>
        <w:tc>
          <w:tcPr>
            <w:tcW w:type="dxa" w:w="1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文件存储</w:t>
            </w:r>
          </w:p>
        </w:tc>
        <w:tc>
          <w:tcPr>
            <w:tcW w:type="dxa" w:w="33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证照、经营证明和授权函</w:t>
            </w:r>
          </w:p>
        </w:tc>
        <w:tc>
          <w:tcPr>
            <w:tcW w:type="dxa" w:w="42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私有存储、临时 URL、加密、病毒扫描、访问审计</w:t>
            </w:r>
          </w:p>
        </w:tc>
      </w:tr>
      <w:tr>
        <w:trPr>
          <w:cantSplit/>
        </w:trPr>
        <w:tc>
          <w:tcPr>
            <w:tcW w:type="dxa" w:w="1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消息中心</w:t>
            </w:r>
          </w:p>
        </w:tc>
        <w:tc>
          <w:tcPr>
            <w:tcW w:type="dxa" w:w="33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维护通知、审核、异常和待办</w:t>
            </w:r>
          </w:p>
        </w:tc>
        <w:tc>
          <w:tcPr>
            <w:tcW w:type="dxa" w:w="42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送达状态、重试、已读、升级和通知偏好</w:t>
            </w:r>
          </w:p>
        </w:tc>
      </w:tr>
    </w:tbl>
    <w:p>
      <w:pPr>
        <w:spacing w:after="40"/>
      </w:pPr>
    </w:p>
    <w:p>
      <w:pPr>
        <w:pStyle w:val="Heading1"/>
        <w:keepNext/>
      </w:pPr>
      <w:r>
        <w:t>19  非功能需求</w:t>
      </w:r>
    </w:p>
    <w:tbl>
      <w:tblPr>
        <w:tblW w:type="dxa" w:w="9360"/>
        <w:jc w:val="left"/>
        <w:tblLayout w:type="fixed"/>
        <w:tblLook w:firstColumn="1" w:firstRow="1" w:lastColumn="0" w:lastRow="0" w:noHBand="0" w:noVBand="1" w:val="04A0"/>
        <w:tblInd w:type="dxa" w:w="120"/>
      </w:tblPr>
      <w:tblGrid>
        <w:gridCol w:w="1500"/>
        <w:gridCol w:w="800"/>
        <w:gridCol w:w="7060"/>
      </w:tblGrid>
      <w:tr>
        <w:trPr>
          <w:tblHeader w:val="true"/>
        </w:trPr>
        <w:tc>
          <w:tcPr>
            <w:tcW w:type="dxa" w:w="150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8"/>
              </w:rPr>
              <w:t>需求 ID</w:t>
            </w:r>
          </w:p>
        </w:tc>
        <w:tc>
          <w:tcPr>
            <w:tcW w:type="dxa" w:w="80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8"/>
              </w:rPr>
              <w:t>优先级</w:t>
            </w:r>
          </w:p>
        </w:tc>
        <w:tc>
          <w:tcPr>
            <w:tcW w:type="dxa" w:w="706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8"/>
              </w:rPr>
              <w:t>非功能要求</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NFR-SEC-001</w:t>
            </w:r>
          </w:p>
        </w:tc>
        <w:tc>
          <w:tcPr>
            <w:tcW w:type="dxa" w:w="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P0</w:t>
            </w:r>
          </w:p>
        </w:tc>
        <w:tc>
          <w:tcPr>
            <w:tcW w:type="dxa" w:w="7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敏感数据默认脱敏，密文存储；完整查看和导出采用独立权限、审批、水印与审计。</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NFR-SEC-002</w:t>
            </w:r>
          </w:p>
        </w:tc>
        <w:tc>
          <w:tcPr>
            <w:tcW w:type="dxa" w:w="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P0</w:t>
            </w:r>
          </w:p>
        </w:tc>
        <w:tc>
          <w:tcPr>
            <w:tcW w:type="dxa" w:w="7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关键接口执行认证、授权、参数校验、签名、防重放、限流和幂等。</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NFR-SEC-003</w:t>
            </w:r>
          </w:p>
        </w:tc>
        <w:tc>
          <w:tcPr>
            <w:tcW w:type="dxa" w:w="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P0</w:t>
            </w:r>
          </w:p>
        </w:tc>
        <w:tc>
          <w:tcPr>
            <w:tcW w:type="dxa" w:w="7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密码、验证码、密钥、身份证和银行卡不得出现在日志、URL、前端存储或错误详情。</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NFR-AUD-001</w:t>
            </w:r>
          </w:p>
        </w:tc>
        <w:tc>
          <w:tcPr>
            <w:tcW w:type="dxa" w:w="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P0</w:t>
            </w:r>
          </w:p>
        </w:tc>
        <w:tc>
          <w:tcPr>
            <w:tcW w:type="dxa" w:w="7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新增、编辑、启停、费率、账户、审核、调额、出金、密码、导出等操作完整留痕。</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NFR-FIN-001</w:t>
            </w:r>
          </w:p>
        </w:tc>
        <w:tc>
          <w:tcPr>
            <w:tcW w:type="dxa" w:w="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P0</w:t>
            </w:r>
          </w:p>
        </w:tc>
        <w:tc>
          <w:tcPr>
            <w:tcW w:type="dxa" w:w="7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金额使用十进制定点数；订单、手续费、入账、出金、分润和报表满足守恒及统一舍入。</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NFR-AVL-001</w:t>
            </w:r>
          </w:p>
        </w:tc>
        <w:tc>
          <w:tcPr>
            <w:tcW w:type="dxa" w:w="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P1</w:t>
            </w:r>
          </w:p>
        </w:tc>
        <w:tc>
          <w:tcPr>
            <w:tcW w:type="dxa" w:w="7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核心查询月度可用性目标不低于 99.9%；渠道异常不阻塞无关业务。</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NFR-PER-001</w:t>
            </w:r>
          </w:p>
        </w:tc>
        <w:tc>
          <w:tcPr>
            <w:tcW w:type="dxa" w:w="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P1</w:t>
            </w:r>
          </w:p>
        </w:tc>
        <w:tc>
          <w:tcPr>
            <w:tcW w:type="dxa" w:w="7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普通列表 P95 响应不超过 2 秒；复杂报表 P95 不超过 5 秒；大导出异步化。</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NFR-PER-002</w:t>
            </w:r>
          </w:p>
        </w:tc>
        <w:tc>
          <w:tcPr>
            <w:tcW w:type="dxa" w:w="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P1</w:t>
            </w:r>
          </w:p>
        </w:tc>
        <w:tc>
          <w:tcPr>
            <w:tcW w:type="dxa" w:w="7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支持至少 300+ 商户、400+ 进件和持续增长的数据量，分页、索引和异步任务可扩展。</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NFR-OBS-001</w:t>
            </w:r>
          </w:p>
        </w:tc>
        <w:tc>
          <w:tcPr>
            <w:tcW w:type="dxa" w:w="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P1</w:t>
            </w:r>
          </w:p>
        </w:tc>
        <w:tc>
          <w:tcPr>
            <w:tcW w:type="dxa" w:w="7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监控接口成功率、渠道延迟、回调积压、对账差异、出金失败和审核超时。</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NFR-DR-001</w:t>
            </w:r>
          </w:p>
        </w:tc>
        <w:tc>
          <w:tcPr>
            <w:tcW w:type="dxa" w:w="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P1</w:t>
            </w:r>
          </w:p>
        </w:tc>
        <w:tc>
          <w:tcPr>
            <w:tcW w:type="dxa" w:w="7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定义备份、恢复演练、RPO/RTO、异地容灾和关键账务数据校验策略。</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NFR-UX-001</w:t>
            </w:r>
          </w:p>
        </w:tc>
        <w:tc>
          <w:tcPr>
            <w:tcW w:type="dxa" w:w="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P2</w:t>
            </w:r>
          </w:p>
        </w:tc>
        <w:tc>
          <w:tcPr>
            <w:tcW w:type="dxa" w:w="7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长列表支持列固定、列配置、横向滚动提示和重要状态突出；错误信息可行动。</w:t>
            </w:r>
          </w:p>
        </w:tc>
      </w:tr>
      <w:tr>
        <w:trPr>
          <w:cantSplit/>
        </w:trPr>
        <w:tc>
          <w:tcPr>
            <w:tcW w:type="dxa" w:w="15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NFR-COMP-001</w:t>
            </w:r>
          </w:p>
        </w:tc>
        <w:tc>
          <w:tcPr>
            <w:tcW w:type="dxa" w:w="8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P2</w:t>
            </w:r>
          </w:p>
        </w:tc>
        <w:tc>
          <w:tcPr>
            <w:tcW w:type="dxa" w:w="7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支持企业常用桌面浏览器，关键表单在 1366×768 及以上分辨率无内容遮挡。</w:t>
            </w:r>
          </w:p>
        </w:tc>
      </w:tr>
    </w:tbl>
    <w:p>
      <w:pPr>
        <w:spacing w:after="40"/>
      </w:pPr>
    </w:p>
    <w:p>
      <w:pPr>
        <w:pStyle w:val="Heading1"/>
        <w:keepNext/>
      </w:pPr>
      <w:r>
        <w:t>20  验收标准</w:t>
      </w:r>
    </w:p>
    <w:p>
      <w:pPr>
        <w:keepLines/>
        <w:spacing w:before="80" w:after="160" w:line="276" w:lineRule="auto"/>
        <w:shd w:fill="FFF7DD"/>
        <w:pBdr>
          <w:left w:val="single" w:sz="18" w:space="8" w:color="7A5A00"/>
        </w:pBdr>
      </w:pPr>
      <w:r>
        <w:rPr>
          <w:rFonts w:ascii="Calibri" w:hAnsi="Calibri" w:eastAsia="Microsoft YaHei"/>
          <w:b/>
          <w:i w:val="0"/>
          <w:color w:val="7A5A00"/>
          <w:sz w:val="21"/>
        </w:rPr>
        <w:t>测试数据原则</w:t>
        <w:br/>
      </w:r>
      <w:r>
        <w:rPr>
          <w:rFonts w:ascii="Calibri" w:hAnsi="Calibri" w:eastAsia="Microsoft YaHei"/>
          <w:b w:val="0"/>
          <w:i w:val="0"/>
          <w:color w:val="000000"/>
          <w:sz w:val="20"/>
        </w:rPr>
        <w:t>所有验收必须使用脱敏虚拟数据、测试渠道和测试资金账户，不得引用生产商户、真实证件、真实银行卡或真实交易。</w:t>
      </w:r>
    </w:p>
    <w:tbl>
      <w:tblPr>
        <w:tblW w:type="dxa" w:w="9360"/>
        <w:jc w:val="left"/>
        <w:tblLayout w:type="fixed"/>
        <w:tblLook w:firstColumn="1" w:firstRow="1" w:lastColumn="0" w:lastRow="0" w:noHBand="0" w:noVBand="1" w:val="04A0"/>
        <w:tblInd w:type="dxa" w:w="120"/>
      </w:tblPr>
      <w:tblGrid>
        <w:gridCol w:w="1400"/>
        <w:gridCol w:w="1450"/>
        <w:gridCol w:w="2850"/>
        <w:gridCol w:w="3660"/>
      </w:tblGrid>
      <w:tr>
        <w:trPr>
          <w:tblHeader w:val="true"/>
        </w:trPr>
        <w:tc>
          <w:tcPr>
            <w:tcW w:type="dxa" w:w="140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验收 ID</w:t>
            </w:r>
          </w:p>
        </w:tc>
        <w:tc>
          <w:tcPr>
            <w:tcW w:type="dxa" w:w="145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主题</w:t>
            </w:r>
          </w:p>
        </w:tc>
        <w:tc>
          <w:tcPr>
            <w:tcW w:type="dxa" w:w="285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操作/条件</w:t>
            </w:r>
          </w:p>
        </w:tc>
        <w:tc>
          <w:tcPr>
            <w:tcW w:type="dxa" w:w="366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7"/>
              </w:rPr>
              <w:t>预期结果</w:t>
            </w:r>
          </w:p>
        </w:tc>
      </w:tr>
      <w:tr>
        <w:trPr>
          <w:cantSplit/>
        </w:trPr>
        <w:tc>
          <w:tcPr>
            <w:tcW w:type="dxa" w:w="14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AC-COM-001</w:t>
            </w:r>
          </w:p>
        </w:tc>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数据隔离</w:t>
            </w:r>
          </w:p>
        </w:tc>
        <w:tc>
          <w:tcPr>
            <w:tcW w:type="dxa" w:w="2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代理查询任一模块</w:t>
            </w:r>
          </w:p>
        </w:tc>
        <w:tc>
          <w:tcPr>
            <w:tcW w:type="dxa" w:w="36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仅返回本人及授权后代；篡改 URL/参数/导出参数仍被拦截。</w:t>
            </w:r>
          </w:p>
        </w:tc>
      </w:tr>
      <w:tr>
        <w:trPr>
          <w:cantSplit/>
        </w:trPr>
        <w:tc>
          <w:tcPr>
            <w:tcW w:type="dxa" w:w="14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AC-COM-002</w:t>
            </w:r>
          </w:p>
        </w:tc>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功能权限</w:t>
            </w:r>
          </w:p>
        </w:tc>
        <w:tc>
          <w:tcPr>
            <w:tcW w:type="dxa" w:w="2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无权限用户直接调用写接口</w:t>
            </w:r>
          </w:p>
        </w:tc>
        <w:tc>
          <w:tcPr>
            <w:tcW w:type="dxa" w:w="36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服务端拒绝，按钮隐藏不能作为唯一控制。</w:t>
            </w:r>
          </w:p>
        </w:tc>
      </w:tr>
      <w:tr>
        <w:trPr>
          <w:cantSplit/>
        </w:trPr>
        <w:tc>
          <w:tcPr>
            <w:tcW w:type="dxa" w:w="14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AC-COM-003</w:t>
            </w:r>
          </w:p>
        </w:tc>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敏感字段</w:t>
            </w:r>
          </w:p>
        </w:tc>
        <w:tc>
          <w:tcPr>
            <w:tcW w:type="dxa" w:w="2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查看列表、详情或导出</w:t>
            </w:r>
          </w:p>
        </w:tc>
        <w:tc>
          <w:tcPr>
            <w:tcW w:type="dxa" w:w="36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手机号、身份证、银行卡默认脱敏；完整查看被审计。</w:t>
            </w:r>
          </w:p>
        </w:tc>
      </w:tr>
      <w:tr>
        <w:trPr>
          <w:cantSplit/>
        </w:trPr>
        <w:tc>
          <w:tcPr>
            <w:tcW w:type="dxa" w:w="14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AC-COM-004</w:t>
            </w:r>
          </w:p>
        </w:tc>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金额精度</w:t>
            </w:r>
          </w:p>
        </w:tc>
        <w:tc>
          <w:tcPr>
            <w:tcW w:type="dxa" w:w="2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计算手续费、入账、出金和分润</w:t>
            </w:r>
          </w:p>
        </w:tc>
        <w:tc>
          <w:tcPr>
            <w:tcW w:type="dxa" w:w="36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定点计算，列表、详情、导出、报表结果一致。</w:t>
            </w:r>
          </w:p>
        </w:tc>
      </w:tr>
      <w:tr>
        <w:trPr>
          <w:cantSplit/>
        </w:trPr>
        <w:tc>
          <w:tcPr>
            <w:tcW w:type="dxa" w:w="14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AC-AGT-001</w:t>
            </w:r>
          </w:p>
        </w:tc>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代理层级</w:t>
            </w:r>
          </w:p>
        </w:tc>
        <w:tc>
          <w:tcPr>
            <w:tcW w:type="dxa" w:w="2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创建下级并篡改上级 ID</w:t>
            </w:r>
          </w:p>
        </w:tc>
        <w:tc>
          <w:tcPr>
            <w:tcW w:type="dxa" w:w="36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只能挂载当前代理直接下级，越权请求被拒绝。</w:t>
            </w:r>
          </w:p>
        </w:tc>
      </w:tr>
      <w:tr>
        <w:trPr>
          <w:cantSplit/>
        </w:trPr>
        <w:tc>
          <w:tcPr>
            <w:tcW w:type="dxa" w:w="14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AC-AGT-002</w:t>
            </w:r>
          </w:p>
        </w:tc>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费率边界</w:t>
            </w:r>
          </w:p>
        </w:tc>
        <w:tc>
          <w:tcPr>
            <w:tcW w:type="dxa" w:w="2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配置下级代理费率</w:t>
            </w:r>
          </w:p>
        </w:tc>
        <w:tc>
          <w:tcPr>
            <w:tcW w:type="dxa" w:w="36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不得突破上级允许区间，历史交易不被追溯修改。</w:t>
            </w:r>
          </w:p>
        </w:tc>
      </w:tr>
      <w:tr>
        <w:trPr>
          <w:cantSplit/>
        </w:trPr>
        <w:tc>
          <w:tcPr>
            <w:tcW w:type="dxa" w:w="14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AC-MER-001</w:t>
            </w:r>
          </w:p>
        </w:tc>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商户唯一</w:t>
            </w:r>
          </w:p>
        </w:tc>
        <w:tc>
          <w:tcPr>
            <w:tcW w:type="dxa" w:w="2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并发创建同一主体</w:t>
            </w:r>
          </w:p>
        </w:tc>
        <w:tc>
          <w:tcPr>
            <w:tcW w:type="dxa" w:w="36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按主体唯一规则仅生成一条有效主档。</w:t>
            </w:r>
          </w:p>
        </w:tc>
      </w:tr>
      <w:tr>
        <w:trPr>
          <w:cantSplit/>
        </w:trPr>
        <w:tc>
          <w:tcPr>
            <w:tcW w:type="dxa" w:w="14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AC-MER-002</w:t>
            </w:r>
          </w:p>
        </w:tc>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关键字段</w:t>
            </w:r>
          </w:p>
        </w:tc>
        <w:tc>
          <w:tcPr>
            <w:tcW w:type="dxa" w:w="2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变更法人或结算账户</w:t>
            </w:r>
          </w:p>
        </w:tc>
        <w:tc>
          <w:tcPr>
            <w:tcW w:type="dxa" w:w="36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触发重新核验/进件，不允许静默覆盖。</w:t>
            </w:r>
          </w:p>
        </w:tc>
      </w:tr>
      <w:tr>
        <w:trPr>
          <w:cantSplit/>
        </w:trPr>
        <w:tc>
          <w:tcPr>
            <w:tcW w:type="dxa" w:w="14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AC-ONB-001</w:t>
            </w:r>
          </w:p>
        </w:tc>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步骤校验</w:t>
            </w:r>
          </w:p>
        </w:tc>
        <w:tc>
          <w:tcPr>
            <w:tcW w:type="dxa" w:w="2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必填资料缺失时进入下一步</w:t>
            </w:r>
          </w:p>
        </w:tc>
        <w:tc>
          <w:tcPr>
            <w:tcW w:type="dxa" w:w="36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当前步骤校验失败，无法最终提交。</w:t>
            </w:r>
          </w:p>
        </w:tc>
      </w:tr>
      <w:tr>
        <w:trPr>
          <w:cantSplit/>
        </w:trPr>
        <w:tc>
          <w:tcPr>
            <w:tcW w:type="dxa" w:w="14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AC-ONB-002</w:t>
            </w:r>
          </w:p>
        </w:tc>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草稿恢复</w:t>
            </w:r>
          </w:p>
        </w:tc>
        <w:tc>
          <w:tcPr>
            <w:tcW w:type="dxa" w:w="2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保存后刷新或重新登录</w:t>
            </w:r>
          </w:p>
        </w:tc>
        <w:tc>
          <w:tcPr>
            <w:tcW w:type="dxa" w:w="36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恢复最后已保存版本，未保存改动不伪装为已保存。</w:t>
            </w:r>
          </w:p>
        </w:tc>
      </w:tr>
      <w:tr>
        <w:trPr>
          <w:cantSplit/>
        </w:trPr>
        <w:tc>
          <w:tcPr>
            <w:tcW w:type="dxa" w:w="14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AC-ONB-003</w:t>
            </w:r>
          </w:p>
        </w:tc>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提交幂等</w:t>
            </w:r>
          </w:p>
        </w:tc>
        <w:tc>
          <w:tcPr>
            <w:tcW w:type="dxa" w:w="2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重复点击或网络重试</w:t>
            </w:r>
          </w:p>
        </w:tc>
        <w:tc>
          <w:tcPr>
            <w:tcW w:type="dxa" w:w="36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只生成一笔进件申请。</w:t>
            </w:r>
          </w:p>
        </w:tc>
      </w:tr>
      <w:tr>
        <w:trPr>
          <w:cantSplit/>
        </w:trPr>
        <w:tc>
          <w:tcPr>
            <w:tcW w:type="dxa" w:w="14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AC-ONB-004</w:t>
            </w:r>
          </w:p>
        </w:tc>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附件安全</w:t>
            </w:r>
          </w:p>
        </w:tc>
        <w:tc>
          <w:tcPr>
            <w:tcW w:type="dxa" w:w="2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上传超限、伪类型或恶意文件</w:t>
            </w:r>
          </w:p>
        </w:tc>
        <w:tc>
          <w:tcPr>
            <w:tcW w:type="dxa" w:w="36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前后端拒绝且不生成公开永久链接。</w:t>
            </w:r>
          </w:p>
        </w:tc>
      </w:tr>
      <w:tr>
        <w:trPr>
          <w:cantSplit/>
        </w:trPr>
        <w:tc>
          <w:tcPr>
            <w:tcW w:type="dxa" w:w="14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AC-REV-001</w:t>
            </w:r>
          </w:p>
        </w:tc>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AI/人工</w:t>
            </w:r>
          </w:p>
        </w:tc>
        <w:tc>
          <w:tcPr>
            <w:tcW w:type="dxa" w:w="2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AI 给出结论</w:t>
            </w:r>
          </w:p>
        </w:tc>
        <w:tc>
          <w:tcPr>
            <w:tcW w:type="dxa" w:w="36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人工结论独立，AI 不自动覆盖。</w:t>
            </w:r>
          </w:p>
        </w:tc>
      </w:tr>
      <w:tr>
        <w:trPr>
          <w:cantSplit/>
        </w:trPr>
        <w:tc>
          <w:tcPr>
            <w:tcW w:type="dxa" w:w="14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AC-REV-002</w:t>
            </w:r>
          </w:p>
        </w:tc>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并发审核</w:t>
            </w:r>
          </w:p>
        </w:tc>
        <w:tc>
          <w:tcPr>
            <w:tcW w:type="dxa" w:w="2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两人同时审核同一申请</w:t>
            </w:r>
          </w:p>
        </w:tc>
        <w:tc>
          <w:tcPr>
            <w:tcW w:type="dxa" w:w="36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仅最新版本的一次操作成功，后提交者收到冲突提示。</w:t>
            </w:r>
          </w:p>
        </w:tc>
      </w:tr>
      <w:tr>
        <w:trPr>
          <w:cantSplit/>
        </w:trPr>
        <w:tc>
          <w:tcPr>
            <w:tcW w:type="dxa" w:w="14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AC-REV-003</w:t>
            </w:r>
          </w:p>
        </w:tc>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修订版本</w:t>
            </w:r>
          </w:p>
        </w:tc>
        <w:tc>
          <w:tcPr>
            <w:tcW w:type="dxa" w:w="2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补件后再次审核</w:t>
            </w:r>
          </w:p>
        </w:tc>
        <w:tc>
          <w:tcPr>
            <w:tcW w:type="dxa" w:w="36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可按字段/附件查看前后差异，历史不可覆盖。</w:t>
            </w:r>
          </w:p>
        </w:tc>
      </w:tr>
      <w:tr>
        <w:trPr>
          <w:cantSplit/>
        </w:trPr>
        <w:tc>
          <w:tcPr>
            <w:tcW w:type="dxa" w:w="14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AC-LIM-001</w:t>
            </w:r>
          </w:p>
        </w:tc>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调额重复</w:t>
            </w:r>
          </w:p>
        </w:tc>
        <w:tc>
          <w:tcPr>
            <w:tcW w:type="dxa" w:w="2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同维度已有处理中申请</w:t>
            </w:r>
          </w:p>
        </w:tc>
        <w:tc>
          <w:tcPr>
            <w:tcW w:type="dxa" w:w="36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新申请被拒绝，网络重试不重复建单。</w:t>
            </w:r>
          </w:p>
        </w:tc>
      </w:tr>
      <w:tr>
        <w:trPr>
          <w:cantSplit/>
        </w:trPr>
        <w:tc>
          <w:tcPr>
            <w:tcW w:type="dxa" w:w="14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AC-WHT-001</w:t>
            </w:r>
          </w:p>
        </w:tc>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白名单脱敏</w:t>
            </w:r>
          </w:p>
        </w:tc>
        <w:tc>
          <w:tcPr>
            <w:tcW w:type="dxa" w:w="2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无完整字段权限查看或导出</w:t>
            </w:r>
          </w:p>
        </w:tc>
        <w:tc>
          <w:tcPr>
            <w:tcW w:type="dxa" w:w="36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接口与文件均不返回完整手机号/银行卡。</w:t>
            </w:r>
          </w:p>
        </w:tc>
      </w:tr>
      <w:tr>
        <w:trPr>
          <w:cantSplit/>
        </w:trPr>
        <w:tc>
          <w:tcPr>
            <w:tcW w:type="dxa" w:w="14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AC-WD-001</w:t>
            </w:r>
          </w:p>
        </w:tc>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资金复核</w:t>
            </w:r>
          </w:p>
        </w:tc>
        <w:tc>
          <w:tcPr>
            <w:tcW w:type="dxa" w:w="2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未复核或经办复核同人</w:t>
            </w:r>
          </w:p>
        </w:tc>
        <w:tc>
          <w:tcPr>
            <w:tcW w:type="dxa" w:w="36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不得向渠道发起出金。</w:t>
            </w:r>
          </w:p>
        </w:tc>
      </w:tr>
      <w:tr>
        <w:trPr>
          <w:cantSplit/>
        </w:trPr>
        <w:tc>
          <w:tcPr>
            <w:tcW w:type="dxa" w:w="14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AC-WD-002</w:t>
            </w:r>
          </w:p>
        </w:tc>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出金失败</w:t>
            </w:r>
          </w:p>
        </w:tc>
        <w:tc>
          <w:tcPr>
            <w:tcW w:type="dxa" w:w="2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渠道失败或超时</w:t>
            </w:r>
          </w:p>
        </w:tc>
        <w:tc>
          <w:tcPr>
            <w:tcW w:type="dxa" w:w="36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不重复扣款，资金解冻/退款可核对。</w:t>
            </w:r>
          </w:p>
        </w:tc>
      </w:tr>
      <w:tr>
        <w:trPr>
          <w:cantSplit/>
        </w:trPr>
        <w:tc>
          <w:tcPr>
            <w:tcW w:type="dxa" w:w="14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AC-WD-003</w:t>
            </w:r>
          </w:p>
        </w:tc>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空分润</w:t>
            </w:r>
          </w:p>
        </w:tc>
        <w:tc>
          <w:tcPr>
            <w:tcW w:type="dxa" w:w="2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出金无代理分润明细</w:t>
            </w:r>
          </w:p>
        </w:tc>
        <w:tc>
          <w:tcPr>
            <w:tcW w:type="dxa" w:w="36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页面稳定显示空态，不产生脚本错误。</w:t>
            </w:r>
          </w:p>
        </w:tc>
      </w:tr>
      <w:tr>
        <w:trPr>
          <w:cantSplit/>
        </w:trPr>
        <w:tc>
          <w:tcPr>
            <w:tcW w:type="dxa" w:w="14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AC-ORD-001</w:t>
            </w:r>
          </w:p>
        </w:tc>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回调幂等</w:t>
            </w:r>
          </w:p>
        </w:tc>
        <w:tc>
          <w:tcPr>
            <w:tcW w:type="dxa" w:w="2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重复或乱序支付通知</w:t>
            </w:r>
          </w:p>
        </w:tc>
        <w:tc>
          <w:tcPr>
            <w:tcW w:type="dxa" w:w="36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订单状态最终收敛且不重复入账。</w:t>
            </w:r>
          </w:p>
        </w:tc>
      </w:tr>
      <w:tr>
        <w:trPr>
          <w:cantSplit/>
        </w:trPr>
        <w:tc>
          <w:tcPr>
            <w:tcW w:type="dxa" w:w="14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AC-ORD-002</w:t>
            </w:r>
          </w:p>
        </w:tc>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状态独立</w:t>
            </w:r>
          </w:p>
        </w:tc>
        <w:tc>
          <w:tcPr>
            <w:tcW w:type="dxa" w:w="2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支付成功但通知失败</w:t>
            </w:r>
          </w:p>
        </w:tc>
        <w:tc>
          <w:tcPr>
            <w:tcW w:type="dxa" w:w="36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两个状态独立展示并允许受控通知重试。</w:t>
            </w:r>
          </w:p>
        </w:tc>
      </w:tr>
      <w:tr>
        <w:trPr>
          <w:cantSplit/>
        </w:trPr>
        <w:tc>
          <w:tcPr>
            <w:tcW w:type="dxa" w:w="14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AC-RPT-001</w:t>
            </w:r>
          </w:p>
        </w:tc>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报表口径</w:t>
            </w:r>
          </w:p>
        </w:tc>
        <w:tc>
          <w:tcPr>
            <w:tcW w:type="dxa" w:w="2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按同口径汇总日报与月报</w:t>
            </w:r>
          </w:p>
        </w:tc>
        <w:tc>
          <w:tcPr>
            <w:tcW w:type="dxa" w:w="36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月报等于日报合计加明确调整项。</w:t>
            </w:r>
          </w:p>
        </w:tc>
      </w:tr>
      <w:tr>
        <w:trPr>
          <w:cantSplit/>
        </w:trPr>
        <w:tc>
          <w:tcPr>
            <w:tcW w:type="dxa" w:w="14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AC-VOU-001</w:t>
            </w:r>
          </w:p>
        </w:tc>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并发核销</w:t>
            </w:r>
          </w:p>
        </w:tc>
        <w:tc>
          <w:tcPr>
            <w:tcW w:type="dxa" w:w="2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并发使用同一代金券</w:t>
            </w:r>
          </w:p>
        </w:tc>
        <w:tc>
          <w:tcPr>
            <w:tcW w:type="dxa" w:w="36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不超额、不出现负余额，仅有效请求成功。</w:t>
            </w:r>
          </w:p>
        </w:tc>
      </w:tr>
      <w:tr>
        <w:trPr>
          <w:cantSplit/>
        </w:trPr>
        <w:tc>
          <w:tcPr>
            <w:tcW w:type="dxa" w:w="14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AC-SEC-001</w:t>
            </w:r>
          </w:p>
        </w:tc>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密码输入</w:t>
            </w:r>
          </w:p>
        </w:tc>
        <w:tc>
          <w:tcPr>
            <w:tcW w:type="dxa" w:w="2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输入登录或支付密码</w:t>
            </w:r>
          </w:p>
        </w:tc>
        <w:tc>
          <w:tcPr>
            <w:tcW w:type="dxa" w:w="36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默认掩码，页面、日志和浏览器存储不出现明文。</w:t>
            </w:r>
          </w:p>
        </w:tc>
      </w:tr>
      <w:tr>
        <w:trPr>
          <w:cantSplit/>
        </w:trPr>
        <w:tc>
          <w:tcPr>
            <w:tcW w:type="dxa" w:w="14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AC-SEC-002</w:t>
            </w:r>
          </w:p>
        </w:tc>
        <w:tc>
          <w:tcPr>
            <w:tcW w:type="dxa" w:w="14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会话吊销</w:t>
            </w:r>
          </w:p>
        </w:tc>
        <w:tc>
          <w:tcPr>
            <w:tcW w:type="dxa" w:w="285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账号停用或密码重置</w:t>
            </w:r>
          </w:p>
        </w:tc>
        <w:tc>
          <w:tcPr>
            <w:tcW w:type="dxa" w:w="36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7"/>
              </w:rPr>
              <w:t>相关会话按策略立即失效。</w:t>
            </w:r>
          </w:p>
        </w:tc>
      </w:tr>
    </w:tbl>
    <w:p>
      <w:pPr>
        <w:spacing w:after="40"/>
      </w:pPr>
    </w:p>
    <w:p>
      <w:pPr>
        <w:pStyle w:val="Heading1"/>
        <w:keepNext/>
      </w:pPr>
      <w:r>
        <w:t>21  风险、缺口与实施优先级</w:t>
      </w:r>
    </w:p>
    <w:p>
      <w:pPr>
        <w:pStyle w:val="Heading2"/>
        <w:keepNext/>
      </w:pPr>
      <w:r>
        <w:t>21.1  P0 风险</w:t>
      </w:r>
    </w:p>
    <w:p>
      <w:pPr>
        <w:pStyle w:val="ListBullet"/>
        <w:spacing w:after="80" w:line="300" w:lineRule="auto"/>
      </w:pPr>
      <w:r>
        <w:rPr>
          <w:rFonts w:ascii="Calibri" w:hAnsi="Calibri" w:eastAsia="Microsoft YaHei"/>
          <w:b w:val="0"/>
          <w:i w:val="0"/>
          <w:color w:val="000000"/>
          <w:sz w:val="22"/>
        </w:rPr>
        <w:t>分账白名单、出金和 KYC 页面存在完整手机号、银行卡号、身份证号展示，并伴随导出能力。</w:t>
      </w:r>
    </w:p>
    <w:p>
      <w:pPr>
        <w:pStyle w:val="ListBullet"/>
        <w:spacing w:after="80" w:line="300" w:lineRule="auto"/>
      </w:pPr>
      <w:r>
        <w:rPr>
          <w:rFonts w:ascii="Calibri" w:hAnsi="Calibri" w:eastAsia="Microsoft YaHei"/>
          <w:b w:val="0"/>
          <w:i w:val="0"/>
          <w:color w:val="000000"/>
          <w:sz w:val="22"/>
        </w:rPr>
        <w:t>登录密码输入控件被观察为普通文本类型；支付密码修改缺少明显旧密码或短信验证字段。</w:t>
      </w:r>
    </w:p>
    <w:p>
      <w:pPr>
        <w:pStyle w:val="ListBullet"/>
        <w:spacing w:after="80" w:line="300" w:lineRule="auto"/>
      </w:pPr>
      <w:r>
        <w:rPr>
          <w:rFonts w:ascii="Calibri" w:hAnsi="Calibri" w:eastAsia="Microsoft YaHei"/>
          <w:b w:val="0"/>
          <w:i w:val="0"/>
          <w:color w:val="000000"/>
          <w:sz w:val="22"/>
        </w:rPr>
        <w:t>费率、账户、调额、出金和审核等关键动作的服务端双人复核、MFA 与不可篡改审计尚未验证。</w:t>
      </w:r>
    </w:p>
    <w:p>
      <w:pPr>
        <w:pStyle w:val="ListBullet"/>
        <w:spacing w:after="80" w:line="300" w:lineRule="auto"/>
      </w:pPr>
      <w:r>
        <w:rPr>
          <w:rFonts w:ascii="Calibri" w:hAnsi="Calibri" w:eastAsia="Microsoft YaHei"/>
          <w:b w:val="0"/>
          <w:i w:val="0"/>
          <w:color w:val="000000"/>
          <w:sz w:val="22"/>
        </w:rPr>
        <w:t>多租户及代理层级的接口级越权、导出越权和存量会话吊销尚未完成专项安全测试。</w:t>
      </w:r>
    </w:p>
    <w:p>
      <w:pPr>
        <w:pStyle w:val="ListBullet"/>
        <w:spacing w:after="80" w:line="300" w:lineRule="auto"/>
      </w:pPr>
      <w:r>
        <w:rPr>
          <w:rFonts w:ascii="Calibri" w:hAnsi="Calibri" w:eastAsia="Microsoft YaHei"/>
          <w:b w:val="0"/>
          <w:i w:val="0"/>
          <w:color w:val="000000"/>
          <w:sz w:val="22"/>
        </w:rPr>
        <w:t>渠道回调签名、时间戳、防重放、幂等、乱序处理和资金补偿需要作为上线硬门槛。</w:t>
      </w:r>
    </w:p>
    <w:p>
      <w:pPr>
        <w:pStyle w:val="Heading2"/>
        <w:keepNext/>
      </w:pPr>
      <w:r>
        <w:t>21.2  P1 缺口</w:t>
      </w:r>
    </w:p>
    <w:p>
      <w:pPr>
        <w:pStyle w:val="ListBullet"/>
        <w:spacing w:after="80" w:line="300" w:lineRule="auto"/>
      </w:pPr>
      <w:r>
        <w:rPr>
          <w:rFonts w:ascii="Calibri" w:hAnsi="Calibri" w:eastAsia="Microsoft YaHei"/>
          <w:b w:val="0"/>
          <w:i w:val="0"/>
          <w:color w:val="000000"/>
          <w:sz w:val="22"/>
        </w:rPr>
        <w:t>部分出金详情在分润数据为空时触发前端读取 agentProfitDetailVoList 的异常。</w:t>
      </w:r>
    </w:p>
    <w:p>
      <w:pPr>
        <w:pStyle w:val="ListBullet"/>
        <w:spacing w:after="80" w:line="300" w:lineRule="auto"/>
      </w:pPr>
      <w:r>
        <w:rPr>
          <w:rFonts w:ascii="Calibri" w:hAnsi="Calibri" w:eastAsia="Microsoft YaHei"/>
          <w:b w:val="0"/>
          <w:i w:val="0"/>
          <w:color w:val="000000"/>
          <w:sz w:val="22"/>
        </w:rPr>
        <w:t>退款发起、部分退款、拒付争议、日终对账差错、冲正和人工补偿入口未观察到。</w:t>
      </w:r>
    </w:p>
    <w:p>
      <w:pPr>
        <w:pStyle w:val="ListBullet"/>
        <w:spacing w:after="80" w:line="300" w:lineRule="auto"/>
      </w:pPr>
      <w:r>
        <w:rPr>
          <w:rFonts w:ascii="Calibri" w:hAnsi="Calibri" w:eastAsia="Microsoft YaHei"/>
          <w:b w:val="0"/>
          <w:i w:val="0"/>
          <w:color w:val="000000"/>
          <w:sz w:val="22"/>
        </w:rPr>
        <w:t>代理佣金账单、发票税务、商户注销、渠道解约、账户变更历史和 AML 定期复审未观察到。</w:t>
      </w:r>
    </w:p>
    <w:p>
      <w:pPr>
        <w:pStyle w:val="ListBullet"/>
        <w:spacing w:after="80" w:line="300" w:lineRule="auto"/>
      </w:pPr>
      <w:r>
        <w:rPr>
          <w:rFonts w:ascii="Calibri" w:hAnsi="Calibri" w:eastAsia="Microsoft YaHei"/>
          <w:b w:val="0"/>
          <w:i w:val="0"/>
          <w:color w:val="000000"/>
          <w:sz w:val="22"/>
        </w:rPr>
        <w:t>附件上传组件未声明可接受类型；应同时加强服务端内容识别、病毒扫描和访问审计。</w:t>
      </w:r>
    </w:p>
    <w:p>
      <w:pPr>
        <w:pStyle w:val="ListBullet"/>
        <w:spacing w:after="80" w:line="300" w:lineRule="auto"/>
      </w:pPr>
      <w:r>
        <w:rPr>
          <w:rFonts w:ascii="Calibri" w:hAnsi="Calibri" w:eastAsia="Microsoft YaHei"/>
          <w:b w:val="0"/>
          <w:i w:val="0"/>
          <w:color w:val="000000"/>
          <w:sz w:val="22"/>
        </w:rPr>
        <w:t>代金券当前无数据，批量下发、核销、撤回、叠加和成本归属规则尚待确认。</w:t>
      </w:r>
    </w:p>
    <w:p>
      <w:pPr>
        <w:pStyle w:val="Heading2"/>
        <w:keepNext/>
      </w:pPr>
      <w:r>
        <w:t>21.3  建议实施顺序</w:t>
      </w:r>
    </w:p>
    <w:tbl>
      <w:tblPr>
        <w:tblW w:type="dxa" w:w="9360"/>
        <w:jc w:val="left"/>
        <w:tblLayout w:type="fixed"/>
        <w:tblLook w:firstColumn="1" w:firstRow="1" w:lastColumn="0" w:lastRow="0" w:noHBand="0" w:noVBand="1" w:val="04A0"/>
        <w:tblInd w:type="dxa" w:w="120"/>
      </w:tblPr>
      <w:tblGrid>
        <w:gridCol w:w="1200"/>
        <w:gridCol w:w="2100"/>
        <w:gridCol w:w="6060"/>
      </w:tblGrid>
      <w:tr>
        <w:trPr>
          <w:tblHeader w:val="true"/>
        </w:trPr>
        <w:tc>
          <w:tcPr>
            <w:tcW w:type="dxa" w:w="120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8"/>
              </w:rPr>
              <w:t>阶段</w:t>
            </w:r>
          </w:p>
        </w:tc>
        <w:tc>
          <w:tcPr>
            <w:tcW w:type="dxa" w:w="210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8"/>
              </w:rPr>
              <w:t>主题</w:t>
            </w:r>
          </w:p>
        </w:tc>
        <w:tc>
          <w:tcPr>
            <w:tcW w:type="dxa" w:w="606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8"/>
              </w:rPr>
              <w:t>交付重点</w:t>
            </w:r>
          </w:p>
        </w:tc>
      </w:tr>
      <w:tr>
        <w:trPr>
          <w:cantSplit/>
        </w:trPr>
        <w:tc>
          <w:tcPr>
            <w:tcW w:type="dxa" w:w="12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阶段 0</w:t>
            </w:r>
          </w:p>
        </w:tc>
        <w:tc>
          <w:tcPr>
            <w:tcW w:type="dxa" w:w="21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安全与账务基线</w:t>
            </w:r>
          </w:p>
        </w:tc>
        <w:tc>
          <w:tcPr>
            <w:tcW w:type="dxa" w:w="6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数据隔离、脱敏、密码/MFA、回调安全、幂等、审计、金额精度、资金守恒</w:t>
            </w:r>
          </w:p>
        </w:tc>
      </w:tr>
      <w:tr>
        <w:trPr>
          <w:cantSplit/>
        </w:trPr>
        <w:tc>
          <w:tcPr>
            <w:tcW w:type="dxa" w:w="12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阶段 1</w:t>
            </w:r>
          </w:p>
        </w:tc>
        <w:tc>
          <w:tcPr>
            <w:tcW w:type="dxa" w:w="21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代理与商户主档</w:t>
            </w:r>
          </w:p>
        </w:tc>
        <w:tc>
          <w:tcPr>
            <w:tcW w:type="dxa" w:w="6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组织层级、账号、费率版本、商户唯一性、字段锁定</w:t>
            </w:r>
          </w:p>
        </w:tc>
      </w:tr>
      <w:tr>
        <w:trPr>
          <w:cantSplit/>
        </w:trPr>
        <w:tc>
          <w:tcPr>
            <w:tcW w:type="dxa" w:w="12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阶段 2</w:t>
            </w:r>
          </w:p>
        </w:tc>
        <w:tc>
          <w:tcPr>
            <w:tcW w:type="dxa" w:w="21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进件与审核闭环</w:t>
            </w:r>
          </w:p>
        </w:tc>
        <w:tc>
          <w:tcPr>
            <w:tcW w:type="dxa" w:w="6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五步向导、草稿、版本、AI/人工审核、补件、渠道状态</w:t>
            </w:r>
          </w:p>
        </w:tc>
      </w:tr>
      <w:tr>
        <w:trPr>
          <w:cantSplit/>
        </w:trPr>
        <w:tc>
          <w:tcPr>
            <w:tcW w:type="dxa" w:w="12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阶段 3</w:t>
            </w:r>
          </w:p>
        </w:tc>
        <w:tc>
          <w:tcPr>
            <w:tcW w:type="dxa" w:w="21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资金运营</w:t>
            </w:r>
          </w:p>
        </w:tc>
        <w:tc>
          <w:tcPr>
            <w:tcW w:type="dxa" w:w="6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白名单、出金经办复核、异常补偿、分润明细、对账</w:t>
            </w:r>
          </w:p>
        </w:tc>
      </w:tr>
      <w:tr>
        <w:trPr>
          <w:cantSplit/>
        </w:trPr>
        <w:tc>
          <w:tcPr>
            <w:tcW w:type="dxa" w:w="12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阶段 4</w:t>
            </w:r>
          </w:p>
        </w:tc>
        <w:tc>
          <w:tcPr>
            <w:tcW w:type="dxa" w:w="21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交易与报表</w:t>
            </w:r>
          </w:p>
        </w:tc>
        <w:tc>
          <w:tcPr>
            <w:tcW w:type="dxa" w:w="6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订单追踪、通知重试、退款、日报月报、异步导出</w:t>
            </w:r>
          </w:p>
        </w:tc>
      </w:tr>
      <w:tr>
        <w:trPr>
          <w:cantSplit/>
        </w:trPr>
        <w:tc>
          <w:tcPr>
            <w:tcW w:type="dxa" w:w="12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阶段 5</w:t>
            </w:r>
          </w:p>
        </w:tc>
        <w:tc>
          <w:tcPr>
            <w:tcW w:type="dxa" w:w="21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营销与运营优化</w:t>
            </w:r>
          </w:p>
        </w:tc>
        <w:tc>
          <w:tcPr>
            <w:tcW w:type="dxa" w:w="6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代金券、消息待办、预警、性能和体验优化</w:t>
            </w:r>
          </w:p>
        </w:tc>
      </w:tr>
    </w:tbl>
    <w:p>
      <w:pPr>
        <w:spacing w:after="40"/>
      </w:pPr>
    </w:p>
    <w:p>
      <w:pPr>
        <w:pStyle w:val="Heading1"/>
        <w:keepNext/>
      </w:pPr>
      <w:r>
        <w:t>附录 A  安全截图参考</w:t>
      </w:r>
    </w:p>
    <w:p>
      <w:pPr>
        <w:spacing w:before="0" w:after="120" w:line="300" w:lineRule="auto"/>
        <w:jc w:val="left"/>
      </w:pPr>
      <w:r>
        <w:rPr>
          <w:rFonts w:ascii="Calibri" w:hAnsi="Calibri" w:eastAsia="Microsoft YaHei"/>
          <w:b w:val="0"/>
          <w:i w:val="0"/>
          <w:color w:val="000000"/>
          <w:sz w:val="22"/>
        </w:rPr>
        <w:t>以下截图均来自只读探查。截图仅保留功能结构、筛选条件、空白表单或指标区域，已避免展示真实身份证号、银行卡号、手机号、流水号、二维码及附件内容。</w:t>
      </w:r>
    </w:p>
    <w:tbl>
      <w:tblPr>
        <w:tblW w:type="dxa" w:w="9360"/>
        <w:jc w:val="left"/>
        <w:tblLayout w:type="fixed"/>
        <w:tblLook w:firstColumn="1" w:firstRow="1" w:lastColumn="0" w:lastRow="0" w:noHBand="0" w:noVBand="1" w:val="04A0"/>
        <w:tblInd w:type="dxa" w:w="120"/>
      </w:tblPr>
      <w:tblGrid>
        <w:gridCol w:w="700"/>
        <w:gridCol w:w="2600"/>
        <w:gridCol w:w="6060"/>
      </w:tblGrid>
      <w:tr>
        <w:trPr>
          <w:tblHeader w:val="true"/>
        </w:trPr>
        <w:tc>
          <w:tcPr>
            <w:tcW w:type="dxa" w:w="70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8"/>
              </w:rPr>
              <w:t>图号</w:t>
            </w:r>
          </w:p>
        </w:tc>
        <w:tc>
          <w:tcPr>
            <w:tcW w:type="dxa" w:w="260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8"/>
              </w:rPr>
              <w:t>模块</w:t>
            </w:r>
          </w:p>
        </w:tc>
        <w:tc>
          <w:tcPr>
            <w:tcW w:type="dxa" w:w="6060"/>
            <w:vAlign w:val="center"/>
            <w:shd w:fill="E8EEF5"/>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keepNext/>
              <w:spacing w:before="0" w:after="0" w:line="259" w:lineRule="auto"/>
              <w:jc w:val="left"/>
            </w:pPr>
            <w:r/>
            <w:r>
              <w:rPr>
                <w:rFonts w:ascii="Calibri" w:hAnsi="Calibri" w:eastAsia="Microsoft YaHei"/>
                <w:b/>
                <w:i w:val="0"/>
                <w:color w:val="0B2545"/>
                <w:sz w:val="18"/>
              </w:rPr>
              <w:t>验证内容</w:t>
            </w:r>
          </w:p>
        </w:tc>
      </w:tr>
      <w:tr>
        <w:trPr>
          <w:cantSplit/>
        </w:trPr>
        <w:tc>
          <w:tcPr>
            <w:tcW w:type="dxa" w:w="7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1</w:t>
            </w:r>
          </w:p>
        </w:tc>
        <w:tc>
          <w:tcPr>
            <w:tcW w:type="dxa" w:w="26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工作台交易概览</w:t>
            </w:r>
          </w:p>
        </w:tc>
        <w:tc>
          <w:tcPr>
            <w:tcW w:type="dxa" w:w="6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验证今日/昨日交易金额与笔数的指标布局。</w:t>
            </w:r>
          </w:p>
        </w:tc>
      </w:tr>
      <w:tr>
        <w:trPr>
          <w:cantSplit/>
        </w:trPr>
        <w:tc>
          <w:tcPr>
            <w:tcW w:type="dxa" w:w="7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2</w:t>
            </w:r>
          </w:p>
        </w:tc>
        <w:tc>
          <w:tcPr>
            <w:tcW w:type="dxa" w:w="26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新增下级代理表单</w:t>
            </w:r>
          </w:p>
        </w:tc>
        <w:tc>
          <w:tcPr>
            <w:tcW w:type="dxa" w:w="6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验证系统生成登录账号以及代理名称、电话和备注字段。</w:t>
            </w:r>
          </w:p>
        </w:tc>
      </w:tr>
      <w:tr>
        <w:trPr>
          <w:cantSplit/>
        </w:trPr>
        <w:tc>
          <w:tcPr>
            <w:tcW w:type="dxa" w:w="7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3</w:t>
            </w:r>
          </w:p>
        </w:tc>
        <w:tc>
          <w:tcPr>
            <w:tcW w:type="dxa" w:w="26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代理商管理筛选区</w:t>
            </w:r>
          </w:p>
        </w:tc>
        <w:tc>
          <w:tcPr>
            <w:tcW w:type="dxa" w:w="6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验证代理 ID、名称筛选与新增下级代理入口。</w:t>
            </w:r>
          </w:p>
        </w:tc>
      </w:tr>
      <w:tr>
        <w:trPr>
          <w:cantSplit/>
        </w:trPr>
        <w:tc>
          <w:tcPr>
            <w:tcW w:type="dxa" w:w="7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4</w:t>
            </w:r>
          </w:p>
        </w:tc>
        <w:tc>
          <w:tcPr>
            <w:tcW w:type="dxa" w:w="26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新增商户表单</w:t>
            </w:r>
          </w:p>
        </w:tc>
        <w:tc>
          <w:tcPr>
            <w:tcW w:type="dxa" w:w="6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验证账号自动生成、代理归属、复核人员与经营信息字段。</w:t>
            </w:r>
          </w:p>
        </w:tc>
      </w:tr>
      <w:tr>
        <w:trPr>
          <w:cantSplit/>
        </w:trPr>
        <w:tc>
          <w:tcPr>
            <w:tcW w:type="dxa" w:w="7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5</w:t>
            </w:r>
          </w:p>
        </w:tc>
        <w:tc>
          <w:tcPr>
            <w:tcW w:type="dxa" w:w="26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商户进件证件采集</w:t>
            </w:r>
          </w:p>
        </w:tc>
        <w:tc>
          <w:tcPr>
            <w:tcW w:type="dxa" w:w="6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验证五步向导、必传证照和其他附件规则。</w:t>
            </w:r>
          </w:p>
        </w:tc>
      </w:tr>
      <w:tr>
        <w:trPr>
          <w:cantSplit/>
        </w:trPr>
        <w:tc>
          <w:tcPr>
            <w:tcW w:type="dxa" w:w="7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6</w:t>
            </w:r>
          </w:p>
        </w:tc>
        <w:tc>
          <w:tcPr>
            <w:tcW w:type="dxa" w:w="26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进件审核筛选区</w:t>
            </w:r>
          </w:p>
        </w:tc>
        <w:tc>
          <w:tcPr>
            <w:tcW w:type="dxa" w:w="6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验证商户、渠道、人工状态、AI 结论和下级代理范围筛选。</w:t>
            </w:r>
          </w:p>
        </w:tc>
      </w:tr>
      <w:tr>
        <w:trPr>
          <w:cantSplit/>
        </w:trPr>
        <w:tc>
          <w:tcPr>
            <w:tcW w:type="dxa" w:w="7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7</w:t>
            </w:r>
          </w:p>
        </w:tc>
        <w:tc>
          <w:tcPr>
            <w:tcW w:type="dxa" w:w="26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分账白名单筛选区</w:t>
            </w:r>
          </w:p>
        </w:tc>
        <w:tc>
          <w:tcPr>
            <w:tcW w:type="dxa" w:w="6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验证白名单主体、渠道、账户类型与敏感字段查询条件。</w:t>
            </w:r>
          </w:p>
        </w:tc>
      </w:tr>
      <w:tr>
        <w:trPr>
          <w:cantSplit/>
        </w:trPr>
        <w:tc>
          <w:tcPr>
            <w:tcW w:type="dxa" w:w="7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8</w:t>
            </w:r>
          </w:p>
        </w:tc>
        <w:tc>
          <w:tcPr>
            <w:tcW w:type="dxa" w:w="26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出金明细筛选区</w:t>
            </w:r>
          </w:p>
        </w:tc>
        <w:tc>
          <w:tcPr>
            <w:tcW w:type="dxa" w:w="6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验证渠道、状态、类型、多级流水号和时间范围筛选。</w:t>
            </w:r>
          </w:p>
        </w:tc>
      </w:tr>
      <w:tr>
        <w:trPr>
          <w:cantSplit/>
        </w:trPr>
        <w:tc>
          <w:tcPr>
            <w:tcW w:type="dxa" w:w="7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9</w:t>
            </w:r>
          </w:p>
        </w:tc>
        <w:tc>
          <w:tcPr>
            <w:tcW w:type="dxa" w:w="26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商户订单筛选区</w:t>
            </w:r>
          </w:p>
        </w:tc>
        <w:tc>
          <w:tcPr>
            <w:tcW w:type="dxa" w:w="6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验证代理、商户、金额、状态、三方订单号和渠道筛选。</w:t>
            </w:r>
          </w:p>
        </w:tc>
      </w:tr>
      <w:tr>
        <w:trPr>
          <w:cantSplit/>
        </w:trPr>
        <w:tc>
          <w:tcPr>
            <w:tcW w:type="dxa" w:w="7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10</w:t>
            </w:r>
          </w:p>
        </w:tc>
        <w:tc>
          <w:tcPr>
            <w:tcW w:type="dxa" w:w="26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商户交易日报</w:t>
            </w:r>
          </w:p>
        </w:tc>
        <w:tc>
          <w:tcPr>
            <w:tcW w:type="dxa" w:w="6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验证日报维度、汇总指标、统计与导出入口。</w:t>
            </w:r>
          </w:p>
        </w:tc>
      </w:tr>
      <w:tr>
        <w:trPr>
          <w:cantSplit/>
        </w:trPr>
        <w:tc>
          <w:tcPr>
            <w:tcW w:type="dxa" w:w="7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11</w:t>
            </w:r>
          </w:p>
        </w:tc>
        <w:tc>
          <w:tcPr>
            <w:tcW w:type="dxa" w:w="26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代金券管理</w:t>
            </w:r>
          </w:p>
        </w:tc>
        <w:tc>
          <w:tcPr>
            <w:tcW w:type="dxa" w:w="6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验证券码、金额、有效期、状态和批量下发入口。</w:t>
            </w:r>
          </w:p>
        </w:tc>
      </w:tr>
      <w:tr>
        <w:trPr>
          <w:cantSplit/>
        </w:trPr>
        <w:tc>
          <w:tcPr>
            <w:tcW w:type="dxa" w:w="7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12</w:t>
            </w:r>
          </w:p>
        </w:tc>
        <w:tc>
          <w:tcPr>
            <w:tcW w:type="dxa" w:w="260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集群账户授权</w:t>
            </w:r>
          </w:p>
        </w:tc>
        <w:tc>
          <w:tcPr>
            <w:tcW w:type="dxa" w:w="6060"/>
            <w:vAlign w:val="center"/>
            <w:tcBorders>
              <w:top w:val="single" w:sz="4" w:color="CBD5E1"/>
              <w:left w:val="single" w:sz="4" w:color="CBD5E1"/>
              <w:bottom w:val="single" w:sz="4" w:color="CBD5E1"/>
              <w:right w:val="single" w:sz="4" w:color="CBD5E1"/>
              <w:insideH w:val="single" w:sz="4" w:color="CBD5E1"/>
              <w:insideV w:val="single" w:sz="4" w:color="CBD5E1"/>
            </w:tcBorders>
            <w:tcMar>
              <w:top w:w="80" w:type="dxa"/>
              <w:bottom w:w="80" w:type="dxa"/>
              <w:start w:w="120" w:type="dxa"/>
              <w:end w:w="120" w:type="dxa"/>
            </w:tcMar>
          </w:tcPr>
          <w:p>
            <w:pPr>
              <w:spacing w:before="0" w:after="0" w:line="259" w:lineRule="auto"/>
              <w:jc w:val="left"/>
            </w:pPr>
            <w:r/>
            <w:r>
              <w:rPr>
                <w:rFonts w:ascii="Calibri" w:hAnsi="Calibri" w:eastAsia="Microsoft YaHei"/>
                <w:b w:val="0"/>
                <w:i w:val="0"/>
                <w:color w:val="000000"/>
                <w:sz w:val="18"/>
              </w:rPr>
              <w:t>验证授权账号、主体、支付密码、短信验证码和授权函。</w:t>
            </w:r>
          </w:p>
        </w:tc>
      </w:tr>
    </w:tbl>
    <w:p>
      <w:pPr>
        <w:spacing w:after="40"/>
      </w:pPr>
    </w:p>
    <w:p>
      <w:r>
        <w:br w:type="page"/>
      </w:r>
    </w:p>
    <w:p>
      <w:pPr>
        <w:pStyle w:val="Heading2"/>
        <w:keepNext/>
      </w:pPr>
      <w:r>
        <w:t>图 1  工作台交易概览</w:t>
      </w:r>
    </w:p>
    <w:p>
      <w:pPr>
        <w:keepNext/>
        <w:jc w:val="center"/>
      </w:pPr>
      <w:r>
        <w:drawing>
          <wp:inline xmlns:a="http://schemas.openxmlformats.org/drawingml/2006/main" xmlns:pic="http://schemas.openxmlformats.org/drawingml/2006/picture">
            <wp:extent cx="5623560" cy="4011021"/>
            <wp:docPr id="1" name="Picture 1" descr="工作台交易概览"/>
            <wp:cNvGraphicFramePr>
              <a:graphicFrameLocks noChangeAspect="1"/>
            </wp:cNvGraphicFramePr>
            <a:graphic>
              <a:graphicData uri="http://schemas.openxmlformats.org/drawingml/2006/picture">
                <pic:pic>
                  <pic:nvPicPr>
                    <pic:cNvPr id="0" name="01-dashboard.png"/>
                    <pic:cNvPicPr/>
                  </pic:nvPicPr>
                  <pic:blipFill>
                    <a:blip r:embed="rId11"/>
                    <a:stretch>
                      <a:fillRect/>
                    </a:stretch>
                  </pic:blipFill>
                  <pic:spPr>
                    <a:xfrm>
                      <a:off x="0" y="0"/>
                      <a:ext cx="5623560" cy="4011021"/>
                    </a:xfrm>
                    <a:prstGeom prst="rect"/>
                  </pic:spPr>
                </pic:pic>
              </a:graphicData>
            </a:graphic>
          </wp:inline>
        </w:drawing>
      </w:r>
    </w:p>
    <w:p>
      <w:pPr>
        <w:keepNext/>
        <w:spacing w:before="0" w:after="40" w:line="300" w:lineRule="auto"/>
        <w:jc w:val="center"/>
      </w:pPr>
      <w:r>
        <w:rPr>
          <w:rFonts w:ascii="Calibri" w:hAnsi="Calibri" w:eastAsia="Microsoft YaHei"/>
          <w:b/>
          <w:i w:val="0"/>
          <w:color w:val="1F4D78"/>
          <w:sz w:val="19"/>
        </w:rPr>
        <w:t>图 1：工作台交易概览</w:t>
      </w:r>
    </w:p>
    <w:p>
      <w:pPr>
        <w:spacing w:before="0" w:after="80" w:line="300" w:lineRule="auto"/>
        <w:jc w:val="center"/>
      </w:pPr>
      <w:r>
        <w:rPr>
          <w:rFonts w:ascii="Calibri" w:hAnsi="Calibri" w:eastAsia="Microsoft YaHei"/>
          <w:b w:val="0"/>
          <w:i w:val="0"/>
          <w:color w:val="667085"/>
          <w:sz w:val="18"/>
        </w:rPr>
        <w:t>验证今日/昨日交易金额与笔数的指标布局。</w:t>
      </w:r>
    </w:p>
    <w:p>
      <w:r>
        <w:br w:type="page"/>
      </w:r>
    </w:p>
    <w:p>
      <w:pPr>
        <w:pStyle w:val="Heading2"/>
        <w:keepNext/>
      </w:pPr>
      <w:r>
        <w:t>图 2  新增下级代理表单</w:t>
      </w:r>
    </w:p>
    <w:p>
      <w:pPr>
        <w:keepNext/>
        <w:jc w:val="center"/>
      </w:pPr>
      <w:r>
        <w:drawing>
          <wp:inline xmlns:a="http://schemas.openxmlformats.org/drawingml/2006/main" xmlns:pic="http://schemas.openxmlformats.org/drawingml/2006/picture">
            <wp:extent cx="5623560" cy="5201793"/>
            <wp:docPr id="2" name="Picture 2" descr="新增下级代理表单"/>
            <wp:cNvGraphicFramePr>
              <a:graphicFrameLocks noChangeAspect="1"/>
            </wp:cNvGraphicFramePr>
            <a:graphic>
              <a:graphicData uri="http://schemas.openxmlformats.org/drawingml/2006/picture">
                <pic:pic>
                  <pic:nvPicPr>
                    <pic:cNvPr id="0" name="02-agent-add-form.png"/>
                    <pic:cNvPicPr/>
                  </pic:nvPicPr>
                  <pic:blipFill>
                    <a:blip r:embed="rId12"/>
                    <a:stretch>
                      <a:fillRect/>
                    </a:stretch>
                  </pic:blipFill>
                  <pic:spPr>
                    <a:xfrm>
                      <a:off x="0" y="0"/>
                      <a:ext cx="5623560" cy="5201793"/>
                    </a:xfrm>
                    <a:prstGeom prst="rect"/>
                  </pic:spPr>
                </pic:pic>
              </a:graphicData>
            </a:graphic>
          </wp:inline>
        </w:drawing>
      </w:r>
    </w:p>
    <w:p>
      <w:pPr>
        <w:keepNext/>
        <w:spacing w:before="0" w:after="40" w:line="300" w:lineRule="auto"/>
        <w:jc w:val="center"/>
      </w:pPr>
      <w:r>
        <w:rPr>
          <w:rFonts w:ascii="Calibri" w:hAnsi="Calibri" w:eastAsia="Microsoft YaHei"/>
          <w:b/>
          <w:i w:val="0"/>
          <w:color w:val="1F4D78"/>
          <w:sz w:val="19"/>
        </w:rPr>
        <w:t>图 2：新增下级代理表单</w:t>
      </w:r>
    </w:p>
    <w:p>
      <w:pPr>
        <w:spacing w:before="0" w:after="80" w:line="300" w:lineRule="auto"/>
        <w:jc w:val="center"/>
      </w:pPr>
      <w:r>
        <w:rPr>
          <w:rFonts w:ascii="Calibri" w:hAnsi="Calibri" w:eastAsia="Microsoft YaHei"/>
          <w:b w:val="0"/>
          <w:i w:val="0"/>
          <w:color w:val="667085"/>
          <w:sz w:val="18"/>
        </w:rPr>
        <w:t>验证系统生成登录账号以及代理名称、电话和备注字段。</w:t>
      </w:r>
    </w:p>
    <w:p>
      <w:r>
        <w:br w:type="page"/>
      </w:r>
    </w:p>
    <w:p>
      <w:pPr>
        <w:pStyle w:val="Heading2"/>
        <w:keepNext/>
      </w:pPr>
      <w:r>
        <w:t>图 3  代理商管理筛选区</w:t>
      </w:r>
    </w:p>
    <w:p>
      <w:pPr>
        <w:keepNext/>
        <w:jc w:val="center"/>
      </w:pPr>
      <w:r>
        <w:drawing>
          <wp:inline xmlns:a="http://schemas.openxmlformats.org/drawingml/2006/main" xmlns:pic="http://schemas.openxmlformats.org/drawingml/2006/picture">
            <wp:extent cx="5623560" cy="1170360"/>
            <wp:docPr id="3" name="Picture 3" descr="代理商管理筛选区"/>
            <wp:cNvGraphicFramePr>
              <a:graphicFrameLocks noChangeAspect="1"/>
            </wp:cNvGraphicFramePr>
            <a:graphic>
              <a:graphicData uri="http://schemas.openxmlformats.org/drawingml/2006/picture">
                <pic:pic>
                  <pic:nvPicPr>
                    <pic:cNvPr id="0" name="03-agent-management.png"/>
                    <pic:cNvPicPr/>
                  </pic:nvPicPr>
                  <pic:blipFill>
                    <a:blip r:embed="rId13"/>
                    <a:stretch>
                      <a:fillRect/>
                    </a:stretch>
                  </pic:blipFill>
                  <pic:spPr>
                    <a:xfrm>
                      <a:off x="0" y="0"/>
                      <a:ext cx="5623560" cy="1170360"/>
                    </a:xfrm>
                    <a:prstGeom prst="rect"/>
                  </pic:spPr>
                </pic:pic>
              </a:graphicData>
            </a:graphic>
          </wp:inline>
        </w:drawing>
      </w:r>
    </w:p>
    <w:p>
      <w:pPr>
        <w:keepNext/>
        <w:spacing w:before="0" w:after="40" w:line="300" w:lineRule="auto"/>
        <w:jc w:val="center"/>
      </w:pPr>
      <w:r>
        <w:rPr>
          <w:rFonts w:ascii="Calibri" w:hAnsi="Calibri" w:eastAsia="Microsoft YaHei"/>
          <w:b/>
          <w:i w:val="0"/>
          <w:color w:val="1F4D78"/>
          <w:sz w:val="19"/>
        </w:rPr>
        <w:t>图 3：代理商管理筛选区</w:t>
      </w:r>
    </w:p>
    <w:p>
      <w:pPr>
        <w:spacing w:before="0" w:after="80" w:line="300" w:lineRule="auto"/>
        <w:jc w:val="center"/>
      </w:pPr>
      <w:r>
        <w:rPr>
          <w:rFonts w:ascii="Calibri" w:hAnsi="Calibri" w:eastAsia="Microsoft YaHei"/>
          <w:b w:val="0"/>
          <w:i w:val="0"/>
          <w:color w:val="667085"/>
          <w:sz w:val="18"/>
        </w:rPr>
        <w:t>验证代理 ID、名称筛选与新增下级代理入口。</w:t>
      </w:r>
    </w:p>
    <w:p>
      <w:r>
        <w:br w:type="page"/>
      </w:r>
    </w:p>
    <w:p>
      <w:pPr>
        <w:pStyle w:val="Heading2"/>
        <w:keepNext/>
      </w:pPr>
      <w:r>
        <w:t>图 4  新增商户表单</w:t>
      </w:r>
    </w:p>
    <w:p>
      <w:pPr>
        <w:keepNext/>
        <w:jc w:val="center"/>
      </w:pPr>
      <w:r>
        <w:drawing>
          <wp:inline xmlns:a="http://schemas.openxmlformats.org/drawingml/2006/main" xmlns:pic="http://schemas.openxmlformats.org/drawingml/2006/picture">
            <wp:extent cx="5623560" cy="5173675"/>
            <wp:docPr id="4" name="Picture 4" descr="新增商户表单"/>
            <wp:cNvGraphicFramePr>
              <a:graphicFrameLocks noChangeAspect="1"/>
            </wp:cNvGraphicFramePr>
            <a:graphic>
              <a:graphicData uri="http://schemas.openxmlformats.org/drawingml/2006/picture">
                <pic:pic>
                  <pic:nvPicPr>
                    <pic:cNvPr id="0" name="04-merchant-add-form.png"/>
                    <pic:cNvPicPr/>
                  </pic:nvPicPr>
                  <pic:blipFill>
                    <a:blip r:embed="rId14"/>
                    <a:stretch>
                      <a:fillRect/>
                    </a:stretch>
                  </pic:blipFill>
                  <pic:spPr>
                    <a:xfrm>
                      <a:off x="0" y="0"/>
                      <a:ext cx="5623560" cy="5173675"/>
                    </a:xfrm>
                    <a:prstGeom prst="rect"/>
                  </pic:spPr>
                </pic:pic>
              </a:graphicData>
            </a:graphic>
          </wp:inline>
        </w:drawing>
      </w:r>
    </w:p>
    <w:p>
      <w:pPr>
        <w:keepNext/>
        <w:spacing w:before="0" w:after="40" w:line="300" w:lineRule="auto"/>
        <w:jc w:val="center"/>
      </w:pPr>
      <w:r>
        <w:rPr>
          <w:rFonts w:ascii="Calibri" w:hAnsi="Calibri" w:eastAsia="Microsoft YaHei"/>
          <w:b/>
          <w:i w:val="0"/>
          <w:color w:val="1F4D78"/>
          <w:sz w:val="19"/>
        </w:rPr>
        <w:t>图 4：新增商户表单</w:t>
      </w:r>
    </w:p>
    <w:p>
      <w:pPr>
        <w:spacing w:before="0" w:after="80" w:line="300" w:lineRule="auto"/>
        <w:jc w:val="center"/>
      </w:pPr>
      <w:r>
        <w:rPr>
          <w:rFonts w:ascii="Calibri" w:hAnsi="Calibri" w:eastAsia="Microsoft YaHei"/>
          <w:b w:val="0"/>
          <w:i w:val="0"/>
          <w:color w:val="667085"/>
          <w:sz w:val="18"/>
        </w:rPr>
        <w:t>验证账号自动生成、代理归属、复核人员与经营信息字段。</w:t>
      </w:r>
    </w:p>
    <w:p>
      <w:r>
        <w:br w:type="page"/>
      </w:r>
    </w:p>
    <w:p>
      <w:pPr>
        <w:pStyle w:val="Heading2"/>
        <w:keepNext/>
      </w:pPr>
      <w:r>
        <w:t>图 5  商户进件证件采集</w:t>
      </w:r>
    </w:p>
    <w:p>
      <w:pPr>
        <w:keepNext/>
        <w:jc w:val="center"/>
      </w:pPr>
      <w:r>
        <w:drawing>
          <wp:inline xmlns:a="http://schemas.openxmlformats.org/drawingml/2006/main" xmlns:pic="http://schemas.openxmlformats.org/drawingml/2006/picture">
            <wp:extent cx="4409982" cy="6812280"/>
            <wp:docPr id="5" name="Picture 5" descr="商户进件证件采集"/>
            <wp:cNvGraphicFramePr>
              <a:graphicFrameLocks noChangeAspect="1"/>
            </wp:cNvGraphicFramePr>
            <a:graphic>
              <a:graphicData uri="http://schemas.openxmlformats.org/drawingml/2006/picture">
                <pic:pic>
                  <pic:nvPicPr>
                    <pic:cNvPr id="0" name="05-onboarding-wizard.png"/>
                    <pic:cNvPicPr/>
                  </pic:nvPicPr>
                  <pic:blipFill>
                    <a:blip r:embed="rId15"/>
                    <a:stretch>
                      <a:fillRect/>
                    </a:stretch>
                  </pic:blipFill>
                  <pic:spPr>
                    <a:xfrm>
                      <a:off x="0" y="0"/>
                      <a:ext cx="4409982" cy="6812280"/>
                    </a:xfrm>
                    <a:prstGeom prst="rect"/>
                  </pic:spPr>
                </pic:pic>
              </a:graphicData>
            </a:graphic>
          </wp:inline>
        </w:drawing>
      </w:r>
    </w:p>
    <w:p>
      <w:pPr>
        <w:keepNext/>
        <w:spacing w:before="0" w:after="40" w:line="300" w:lineRule="auto"/>
        <w:jc w:val="center"/>
      </w:pPr>
      <w:r>
        <w:rPr>
          <w:rFonts w:ascii="Calibri" w:hAnsi="Calibri" w:eastAsia="Microsoft YaHei"/>
          <w:b/>
          <w:i w:val="0"/>
          <w:color w:val="1F4D78"/>
          <w:sz w:val="19"/>
        </w:rPr>
        <w:t>图 5：商户进件证件采集</w:t>
      </w:r>
    </w:p>
    <w:p>
      <w:pPr>
        <w:spacing w:before="0" w:after="80" w:line="300" w:lineRule="auto"/>
        <w:jc w:val="center"/>
      </w:pPr>
      <w:r>
        <w:rPr>
          <w:rFonts w:ascii="Calibri" w:hAnsi="Calibri" w:eastAsia="Microsoft YaHei"/>
          <w:b w:val="0"/>
          <w:i w:val="0"/>
          <w:color w:val="667085"/>
          <w:sz w:val="18"/>
        </w:rPr>
        <w:t>验证五步向导、必传证照和其他附件规则。</w:t>
      </w:r>
    </w:p>
    <w:p>
      <w:r>
        <w:br w:type="page"/>
      </w:r>
    </w:p>
    <w:p>
      <w:pPr>
        <w:pStyle w:val="Heading2"/>
        <w:keepNext/>
      </w:pPr>
      <w:r>
        <w:t>图 6  进件审核筛选区</w:t>
      </w:r>
    </w:p>
    <w:p>
      <w:pPr>
        <w:keepNext/>
        <w:jc w:val="center"/>
      </w:pPr>
      <w:r>
        <w:drawing>
          <wp:inline xmlns:a="http://schemas.openxmlformats.org/drawingml/2006/main" xmlns:pic="http://schemas.openxmlformats.org/drawingml/2006/picture">
            <wp:extent cx="5623560" cy="1388893"/>
            <wp:docPr id="6" name="Picture 6" descr="进件审核筛选区"/>
            <wp:cNvGraphicFramePr>
              <a:graphicFrameLocks noChangeAspect="1"/>
            </wp:cNvGraphicFramePr>
            <a:graphic>
              <a:graphicData uri="http://schemas.openxmlformats.org/drawingml/2006/picture">
                <pic:pic>
                  <pic:nvPicPr>
                    <pic:cNvPr id="0" name="06-onboarding-review.png"/>
                    <pic:cNvPicPr/>
                  </pic:nvPicPr>
                  <pic:blipFill>
                    <a:blip r:embed="rId16"/>
                    <a:stretch>
                      <a:fillRect/>
                    </a:stretch>
                  </pic:blipFill>
                  <pic:spPr>
                    <a:xfrm>
                      <a:off x="0" y="0"/>
                      <a:ext cx="5623560" cy="1388893"/>
                    </a:xfrm>
                    <a:prstGeom prst="rect"/>
                  </pic:spPr>
                </pic:pic>
              </a:graphicData>
            </a:graphic>
          </wp:inline>
        </w:drawing>
      </w:r>
    </w:p>
    <w:p>
      <w:pPr>
        <w:keepNext/>
        <w:spacing w:before="0" w:after="40" w:line="300" w:lineRule="auto"/>
        <w:jc w:val="center"/>
      </w:pPr>
      <w:r>
        <w:rPr>
          <w:rFonts w:ascii="Calibri" w:hAnsi="Calibri" w:eastAsia="Microsoft YaHei"/>
          <w:b/>
          <w:i w:val="0"/>
          <w:color w:val="1F4D78"/>
          <w:sz w:val="19"/>
        </w:rPr>
        <w:t>图 6：进件审核筛选区</w:t>
      </w:r>
    </w:p>
    <w:p>
      <w:pPr>
        <w:spacing w:before="0" w:after="80" w:line="300" w:lineRule="auto"/>
        <w:jc w:val="center"/>
      </w:pPr>
      <w:r>
        <w:rPr>
          <w:rFonts w:ascii="Calibri" w:hAnsi="Calibri" w:eastAsia="Microsoft YaHei"/>
          <w:b w:val="0"/>
          <w:i w:val="0"/>
          <w:color w:val="667085"/>
          <w:sz w:val="18"/>
        </w:rPr>
        <w:t>验证商户、渠道、人工状态、AI 结论和下级代理范围筛选。</w:t>
      </w:r>
    </w:p>
    <w:p>
      <w:r>
        <w:br w:type="page"/>
      </w:r>
    </w:p>
    <w:p>
      <w:pPr>
        <w:pStyle w:val="Heading2"/>
        <w:keepNext/>
      </w:pPr>
      <w:r>
        <w:t>图 7  分账白名单筛选区</w:t>
      </w:r>
    </w:p>
    <w:p>
      <w:pPr>
        <w:keepNext/>
        <w:jc w:val="center"/>
      </w:pPr>
      <w:r>
        <w:drawing>
          <wp:inline xmlns:a="http://schemas.openxmlformats.org/drawingml/2006/main" xmlns:pic="http://schemas.openxmlformats.org/drawingml/2006/picture">
            <wp:extent cx="5623560" cy="2015351"/>
            <wp:docPr id="7" name="Picture 7" descr="分账白名单筛选区"/>
            <wp:cNvGraphicFramePr>
              <a:graphicFrameLocks noChangeAspect="1"/>
            </wp:cNvGraphicFramePr>
            <a:graphic>
              <a:graphicData uri="http://schemas.openxmlformats.org/drawingml/2006/picture">
                <pic:pic>
                  <pic:nvPicPr>
                    <pic:cNvPr id="0" name="08-split-whitelist.png"/>
                    <pic:cNvPicPr/>
                  </pic:nvPicPr>
                  <pic:blipFill>
                    <a:blip r:embed="rId17"/>
                    <a:stretch>
                      <a:fillRect/>
                    </a:stretch>
                  </pic:blipFill>
                  <pic:spPr>
                    <a:xfrm>
                      <a:off x="0" y="0"/>
                      <a:ext cx="5623560" cy="2015351"/>
                    </a:xfrm>
                    <a:prstGeom prst="rect"/>
                  </pic:spPr>
                </pic:pic>
              </a:graphicData>
            </a:graphic>
          </wp:inline>
        </w:drawing>
      </w:r>
    </w:p>
    <w:p>
      <w:pPr>
        <w:keepNext/>
        <w:spacing w:before="0" w:after="40" w:line="300" w:lineRule="auto"/>
        <w:jc w:val="center"/>
      </w:pPr>
      <w:r>
        <w:rPr>
          <w:rFonts w:ascii="Calibri" w:hAnsi="Calibri" w:eastAsia="Microsoft YaHei"/>
          <w:b/>
          <w:i w:val="0"/>
          <w:color w:val="1F4D78"/>
          <w:sz w:val="19"/>
        </w:rPr>
        <w:t>图 7：分账白名单筛选区</w:t>
      </w:r>
    </w:p>
    <w:p>
      <w:pPr>
        <w:spacing w:before="0" w:after="80" w:line="300" w:lineRule="auto"/>
        <w:jc w:val="center"/>
      </w:pPr>
      <w:r>
        <w:rPr>
          <w:rFonts w:ascii="Calibri" w:hAnsi="Calibri" w:eastAsia="Microsoft YaHei"/>
          <w:b w:val="0"/>
          <w:i w:val="0"/>
          <w:color w:val="667085"/>
          <w:sz w:val="18"/>
        </w:rPr>
        <w:t>验证白名单主体、渠道、账户类型与敏感字段查询条件。</w:t>
      </w:r>
    </w:p>
    <w:p>
      <w:r>
        <w:br w:type="page"/>
      </w:r>
    </w:p>
    <w:p>
      <w:pPr>
        <w:pStyle w:val="Heading2"/>
        <w:keepNext/>
      </w:pPr>
      <w:r>
        <w:t>图 8  出金明细筛选区</w:t>
      </w:r>
    </w:p>
    <w:p>
      <w:pPr>
        <w:keepNext/>
        <w:jc w:val="center"/>
      </w:pPr>
      <w:r>
        <w:drawing>
          <wp:inline xmlns:a="http://schemas.openxmlformats.org/drawingml/2006/main" xmlns:pic="http://schemas.openxmlformats.org/drawingml/2006/picture">
            <wp:extent cx="5623560" cy="2335865"/>
            <wp:docPr id="8" name="Picture 8" descr="出金明细筛选区"/>
            <wp:cNvGraphicFramePr>
              <a:graphicFrameLocks noChangeAspect="1"/>
            </wp:cNvGraphicFramePr>
            <a:graphic>
              <a:graphicData uri="http://schemas.openxmlformats.org/drawingml/2006/picture">
                <pic:pic>
                  <pic:nvPicPr>
                    <pic:cNvPr id="0" name="09-withdrawal-monitoring.png"/>
                    <pic:cNvPicPr/>
                  </pic:nvPicPr>
                  <pic:blipFill>
                    <a:blip r:embed="rId18"/>
                    <a:stretch>
                      <a:fillRect/>
                    </a:stretch>
                  </pic:blipFill>
                  <pic:spPr>
                    <a:xfrm>
                      <a:off x="0" y="0"/>
                      <a:ext cx="5623560" cy="2335865"/>
                    </a:xfrm>
                    <a:prstGeom prst="rect"/>
                  </pic:spPr>
                </pic:pic>
              </a:graphicData>
            </a:graphic>
          </wp:inline>
        </w:drawing>
      </w:r>
    </w:p>
    <w:p>
      <w:pPr>
        <w:keepNext/>
        <w:spacing w:before="0" w:after="40" w:line="300" w:lineRule="auto"/>
        <w:jc w:val="center"/>
      </w:pPr>
      <w:r>
        <w:rPr>
          <w:rFonts w:ascii="Calibri" w:hAnsi="Calibri" w:eastAsia="Microsoft YaHei"/>
          <w:b/>
          <w:i w:val="0"/>
          <w:color w:val="1F4D78"/>
          <w:sz w:val="19"/>
        </w:rPr>
        <w:t>图 8：出金明细筛选区</w:t>
      </w:r>
    </w:p>
    <w:p>
      <w:pPr>
        <w:spacing w:before="0" w:after="80" w:line="300" w:lineRule="auto"/>
        <w:jc w:val="center"/>
      </w:pPr>
      <w:r>
        <w:rPr>
          <w:rFonts w:ascii="Calibri" w:hAnsi="Calibri" w:eastAsia="Microsoft YaHei"/>
          <w:b w:val="0"/>
          <w:i w:val="0"/>
          <w:color w:val="667085"/>
          <w:sz w:val="18"/>
        </w:rPr>
        <w:t>验证渠道、状态、类型、多级流水号和时间范围筛选。</w:t>
      </w:r>
    </w:p>
    <w:p>
      <w:r>
        <w:br w:type="page"/>
      </w:r>
    </w:p>
    <w:p>
      <w:pPr>
        <w:pStyle w:val="Heading2"/>
        <w:keepNext/>
      </w:pPr>
      <w:r>
        <w:t>图 9  商户订单筛选区</w:t>
      </w:r>
    </w:p>
    <w:p>
      <w:pPr>
        <w:keepNext/>
        <w:jc w:val="center"/>
      </w:pPr>
      <w:r>
        <w:drawing>
          <wp:inline xmlns:a="http://schemas.openxmlformats.org/drawingml/2006/main" xmlns:pic="http://schemas.openxmlformats.org/drawingml/2006/picture">
            <wp:extent cx="5623560" cy="2335865"/>
            <wp:docPr id="9" name="Picture 9" descr="商户订单筛选区"/>
            <wp:cNvGraphicFramePr>
              <a:graphicFrameLocks noChangeAspect="1"/>
            </wp:cNvGraphicFramePr>
            <a:graphic>
              <a:graphicData uri="http://schemas.openxmlformats.org/drawingml/2006/picture">
                <pic:pic>
                  <pic:nvPicPr>
                    <pic:cNvPr id="0" name="10-order-monitoring.png"/>
                    <pic:cNvPicPr/>
                  </pic:nvPicPr>
                  <pic:blipFill>
                    <a:blip r:embed="rId19"/>
                    <a:stretch>
                      <a:fillRect/>
                    </a:stretch>
                  </pic:blipFill>
                  <pic:spPr>
                    <a:xfrm>
                      <a:off x="0" y="0"/>
                      <a:ext cx="5623560" cy="2335865"/>
                    </a:xfrm>
                    <a:prstGeom prst="rect"/>
                  </pic:spPr>
                </pic:pic>
              </a:graphicData>
            </a:graphic>
          </wp:inline>
        </w:drawing>
      </w:r>
    </w:p>
    <w:p>
      <w:pPr>
        <w:keepNext/>
        <w:spacing w:before="0" w:after="40" w:line="300" w:lineRule="auto"/>
        <w:jc w:val="center"/>
      </w:pPr>
      <w:r>
        <w:rPr>
          <w:rFonts w:ascii="Calibri" w:hAnsi="Calibri" w:eastAsia="Microsoft YaHei"/>
          <w:b/>
          <w:i w:val="0"/>
          <w:color w:val="1F4D78"/>
          <w:sz w:val="19"/>
        </w:rPr>
        <w:t>图 9：商户订单筛选区</w:t>
      </w:r>
    </w:p>
    <w:p>
      <w:pPr>
        <w:spacing w:before="0" w:after="80" w:line="300" w:lineRule="auto"/>
        <w:jc w:val="center"/>
      </w:pPr>
      <w:r>
        <w:rPr>
          <w:rFonts w:ascii="Calibri" w:hAnsi="Calibri" w:eastAsia="Microsoft YaHei"/>
          <w:b w:val="0"/>
          <w:i w:val="0"/>
          <w:color w:val="667085"/>
          <w:sz w:val="18"/>
        </w:rPr>
        <w:t>验证代理、商户、金额、状态、三方订单号和渠道筛选。</w:t>
      </w:r>
    </w:p>
    <w:p>
      <w:r>
        <w:br w:type="page"/>
      </w:r>
    </w:p>
    <w:p>
      <w:pPr>
        <w:pStyle w:val="Heading2"/>
        <w:keepNext/>
      </w:pPr>
      <w:r>
        <w:t>图 10  商户交易日报</w:t>
      </w:r>
    </w:p>
    <w:p>
      <w:pPr>
        <w:keepNext/>
        <w:jc w:val="center"/>
      </w:pPr>
      <w:r>
        <w:drawing>
          <wp:inline xmlns:a="http://schemas.openxmlformats.org/drawingml/2006/main" xmlns:pic="http://schemas.openxmlformats.org/drawingml/2006/picture">
            <wp:extent cx="5623560" cy="1845382"/>
            <wp:docPr id="10" name="Picture 10" descr="商户交易日报"/>
            <wp:cNvGraphicFramePr>
              <a:graphicFrameLocks noChangeAspect="1"/>
            </wp:cNvGraphicFramePr>
            <a:graphic>
              <a:graphicData uri="http://schemas.openxmlformats.org/drawingml/2006/picture">
                <pic:pic>
                  <pic:nvPicPr>
                    <pic:cNvPr id="0" name="11-merchant-daily-report.png"/>
                    <pic:cNvPicPr/>
                  </pic:nvPicPr>
                  <pic:blipFill>
                    <a:blip r:embed="rId20"/>
                    <a:stretch>
                      <a:fillRect/>
                    </a:stretch>
                  </pic:blipFill>
                  <pic:spPr>
                    <a:xfrm>
                      <a:off x="0" y="0"/>
                      <a:ext cx="5623560" cy="1845382"/>
                    </a:xfrm>
                    <a:prstGeom prst="rect"/>
                  </pic:spPr>
                </pic:pic>
              </a:graphicData>
            </a:graphic>
          </wp:inline>
        </w:drawing>
      </w:r>
    </w:p>
    <w:p>
      <w:pPr>
        <w:keepNext/>
        <w:spacing w:before="0" w:after="40" w:line="300" w:lineRule="auto"/>
        <w:jc w:val="center"/>
      </w:pPr>
      <w:r>
        <w:rPr>
          <w:rFonts w:ascii="Calibri" w:hAnsi="Calibri" w:eastAsia="Microsoft YaHei"/>
          <w:b/>
          <w:i w:val="0"/>
          <w:color w:val="1F4D78"/>
          <w:sz w:val="19"/>
        </w:rPr>
        <w:t>图 10：商户交易日报</w:t>
      </w:r>
    </w:p>
    <w:p>
      <w:pPr>
        <w:spacing w:before="0" w:after="80" w:line="300" w:lineRule="auto"/>
        <w:jc w:val="center"/>
      </w:pPr>
      <w:r>
        <w:rPr>
          <w:rFonts w:ascii="Calibri" w:hAnsi="Calibri" w:eastAsia="Microsoft YaHei"/>
          <w:b w:val="0"/>
          <w:i w:val="0"/>
          <w:color w:val="667085"/>
          <w:sz w:val="18"/>
        </w:rPr>
        <w:t>验证日报维度、汇总指标、统计与导出入口。</w:t>
      </w:r>
    </w:p>
    <w:p>
      <w:r>
        <w:br w:type="page"/>
      </w:r>
    </w:p>
    <w:p>
      <w:pPr>
        <w:pStyle w:val="Heading2"/>
        <w:keepNext/>
      </w:pPr>
      <w:r>
        <w:t>图 11  代金券管理</w:t>
      </w:r>
    </w:p>
    <w:p>
      <w:pPr>
        <w:keepNext/>
        <w:jc w:val="center"/>
      </w:pPr>
      <w:r>
        <w:drawing>
          <wp:inline xmlns:a="http://schemas.openxmlformats.org/drawingml/2006/main" xmlns:pic="http://schemas.openxmlformats.org/drawingml/2006/picture">
            <wp:extent cx="5623560" cy="4778569"/>
            <wp:docPr id="11" name="Picture 11" descr="代金券管理"/>
            <wp:cNvGraphicFramePr>
              <a:graphicFrameLocks noChangeAspect="1"/>
            </wp:cNvGraphicFramePr>
            <a:graphic>
              <a:graphicData uri="http://schemas.openxmlformats.org/drawingml/2006/picture">
                <pic:pic>
                  <pic:nvPicPr>
                    <pic:cNvPr id="0" name="12-voucher-management.png"/>
                    <pic:cNvPicPr/>
                  </pic:nvPicPr>
                  <pic:blipFill>
                    <a:blip r:embed="rId21"/>
                    <a:stretch>
                      <a:fillRect/>
                    </a:stretch>
                  </pic:blipFill>
                  <pic:spPr>
                    <a:xfrm>
                      <a:off x="0" y="0"/>
                      <a:ext cx="5623560" cy="4778569"/>
                    </a:xfrm>
                    <a:prstGeom prst="rect"/>
                  </pic:spPr>
                </pic:pic>
              </a:graphicData>
            </a:graphic>
          </wp:inline>
        </w:drawing>
      </w:r>
    </w:p>
    <w:p>
      <w:pPr>
        <w:keepNext/>
        <w:spacing w:before="0" w:after="40" w:line="300" w:lineRule="auto"/>
        <w:jc w:val="center"/>
      </w:pPr>
      <w:r>
        <w:rPr>
          <w:rFonts w:ascii="Calibri" w:hAnsi="Calibri" w:eastAsia="Microsoft YaHei"/>
          <w:b/>
          <w:i w:val="0"/>
          <w:color w:val="1F4D78"/>
          <w:sz w:val="19"/>
        </w:rPr>
        <w:t>图 11：代金券管理</w:t>
      </w:r>
    </w:p>
    <w:p>
      <w:pPr>
        <w:spacing w:before="0" w:after="80" w:line="300" w:lineRule="auto"/>
        <w:jc w:val="center"/>
      </w:pPr>
      <w:r>
        <w:rPr>
          <w:rFonts w:ascii="Calibri" w:hAnsi="Calibri" w:eastAsia="Microsoft YaHei"/>
          <w:b w:val="0"/>
          <w:i w:val="0"/>
          <w:color w:val="667085"/>
          <w:sz w:val="18"/>
        </w:rPr>
        <w:t>验证券码、金额、有效期、状态和批量下发入口。</w:t>
      </w:r>
    </w:p>
    <w:p>
      <w:r>
        <w:br w:type="page"/>
      </w:r>
    </w:p>
    <w:p>
      <w:pPr>
        <w:pStyle w:val="Heading2"/>
        <w:keepNext/>
      </w:pPr>
      <w:r>
        <w:t>图 12  集群账户授权</w:t>
      </w:r>
    </w:p>
    <w:p>
      <w:pPr>
        <w:keepNext/>
        <w:jc w:val="center"/>
      </w:pPr>
      <w:r>
        <w:drawing>
          <wp:inline xmlns:a="http://schemas.openxmlformats.org/drawingml/2006/main" xmlns:pic="http://schemas.openxmlformats.org/drawingml/2006/picture">
            <wp:extent cx="5623560" cy="2911186"/>
            <wp:docPr id="12" name="Picture 12" descr="集群账户授权"/>
            <wp:cNvGraphicFramePr>
              <a:graphicFrameLocks noChangeAspect="1"/>
            </wp:cNvGraphicFramePr>
            <a:graphic>
              <a:graphicData uri="http://schemas.openxmlformats.org/drawingml/2006/picture">
                <pic:pic>
                  <pic:nvPicPr>
                    <pic:cNvPr id="0" name="13-account-security.png"/>
                    <pic:cNvPicPr/>
                  </pic:nvPicPr>
                  <pic:blipFill>
                    <a:blip r:embed="rId22"/>
                    <a:stretch>
                      <a:fillRect/>
                    </a:stretch>
                  </pic:blipFill>
                  <pic:spPr>
                    <a:xfrm>
                      <a:off x="0" y="0"/>
                      <a:ext cx="5623560" cy="2911186"/>
                    </a:xfrm>
                    <a:prstGeom prst="rect"/>
                  </pic:spPr>
                </pic:pic>
              </a:graphicData>
            </a:graphic>
          </wp:inline>
        </w:drawing>
      </w:r>
    </w:p>
    <w:p>
      <w:pPr>
        <w:keepNext/>
        <w:spacing w:before="0" w:after="40" w:line="300" w:lineRule="auto"/>
        <w:jc w:val="center"/>
      </w:pPr>
      <w:r>
        <w:rPr>
          <w:rFonts w:ascii="Calibri" w:hAnsi="Calibri" w:eastAsia="Microsoft YaHei"/>
          <w:b/>
          <w:i w:val="0"/>
          <w:color w:val="1F4D78"/>
          <w:sz w:val="19"/>
        </w:rPr>
        <w:t>图 12：集群账户授权</w:t>
      </w:r>
    </w:p>
    <w:p>
      <w:pPr>
        <w:spacing w:before="0" w:after="80" w:line="300" w:lineRule="auto"/>
        <w:jc w:val="center"/>
      </w:pPr>
      <w:r>
        <w:rPr>
          <w:rFonts w:ascii="Calibri" w:hAnsi="Calibri" w:eastAsia="Microsoft YaHei"/>
          <w:b w:val="0"/>
          <w:i w:val="0"/>
          <w:color w:val="667085"/>
          <w:sz w:val="18"/>
        </w:rPr>
        <w:t>验证授权账号、主体、支付密码、短信验证码和授权函。</w:t>
      </w:r>
    </w:p>
    <w:p>
      <w:r>
        <w:br w:type="page"/>
      </w:r>
    </w:p>
    <w:p>
      <w:pPr>
        <w:pStyle w:val="Heading1"/>
        <w:keepNext/>
      </w:pPr>
      <w:r>
        <w:t>附录 B  待确认业务规则</w:t>
      </w:r>
    </w:p>
    <w:p>
      <w:pPr>
        <w:pStyle w:val="ListBullet"/>
        <w:spacing w:after="80" w:line="300" w:lineRule="auto"/>
      </w:pPr>
      <w:r>
        <w:rPr>
          <w:rFonts w:ascii="Calibri" w:hAnsi="Calibri" w:eastAsia="Microsoft YaHei"/>
          <w:b w:val="0"/>
          <w:i w:val="0"/>
          <w:color w:val="000000"/>
          <w:sz w:val="22"/>
        </w:rPr>
        <w:t>各层代理费率上下限、分润公式、舍入方式及生效时间。</w:t>
      </w:r>
    </w:p>
    <w:p>
      <w:pPr>
        <w:pStyle w:val="ListBullet"/>
        <w:spacing w:after="80" w:line="300" w:lineRule="auto"/>
      </w:pPr>
      <w:r>
        <w:rPr>
          <w:rFonts w:ascii="Calibri" w:hAnsi="Calibri" w:eastAsia="Microsoft YaHei"/>
          <w:b w:val="0"/>
          <w:i w:val="0"/>
          <w:color w:val="000000"/>
          <w:sz w:val="22"/>
        </w:rPr>
        <w:t>商户主体唯一性判断、重复主体复用与代理归属变更规则。</w:t>
      </w:r>
    </w:p>
    <w:p>
      <w:pPr>
        <w:pStyle w:val="ListBullet"/>
        <w:spacing w:after="80" w:line="300" w:lineRule="auto"/>
      </w:pPr>
      <w:r>
        <w:rPr>
          <w:rFonts w:ascii="Calibri" w:hAnsi="Calibri" w:eastAsia="Microsoft YaHei"/>
          <w:b w:val="0"/>
          <w:i w:val="0"/>
          <w:color w:val="000000"/>
          <w:sz w:val="22"/>
        </w:rPr>
        <w:t>各渠道差异化字段、附件格式/大小、证件有效期和状态映射。</w:t>
      </w:r>
    </w:p>
    <w:p>
      <w:pPr>
        <w:pStyle w:val="ListBullet"/>
        <w:spacing w:after="80" w:line="300" w:lineRule="auto"/>
      </w:pPr>
      <w:r>
        <w:rPr>
          <w:rFonts w:ascii="Calibri" w:hAnsi="Calibri" w:eastAsia="Microsoft YaHei"/>
          <w:b w:val="0"/>
          <w:i w:val="0"/>
          <w:color w:val="000000"/>
          <w:sz w:val="22"/>
        </w:rPr>
        <w:t>AI 审核是否具有自动拦截权及人工复核覆盖规则。</w:t>
      </w:r>
    </w:p>
    <w:p>
      <w:pPr>
        <w:pStyle w:val="ListBullet"/>
        <w:spacing w:after="80" w:line="300" w:lineRule="auto"/>
      </w:pPr>
      <w:r>
        <w:rPr>
          <w:rFonts w:ascii="Calibri" w:hAnsi="Calibri" w:eastAsia="Microsoft YaHei"/>
          <w:b w:val="0"/>
          <w:i w:val="0"/>
          <w:color w:val="000000"/>
          <w:sz w:val="22"/>
        </w:rPr>
        <w:t>调额最小/最大值、千元进位、审批层级、撤回与失效规则。</w:t>
      </w:r>
    </w:p>
    <w:p>
      <w:pPr>
        <w:pStyle w:val="ListBullet"/>
        <w:spacing w:after="80" w:line="300" w:lineRule="auto"/>
      </w:pPr>
      <w:r>
        <w:rPr>
          <w:rFonts w:ascii="Calibri" w:hAnsi="Calibri" w:eastAsia="Microsoft YaHei"/>
          <w:b w:val="0"/>
          <w:i w:val="0"/>
          <w:color w:val="000000"/>
          <w:sz w:val="22"/>
        </w:rPr>
        <w:t>出金限额、手续费、代金券抵扣、冻结、复核和失败退款规则。</w:t>
      </w:r>
    </w:p>
    <w:p>
      <w:pPr>
        <w:pStyle w:val="ListBullet"/>
        <w:spacing w:after="80" w:line="300" w:lineRule="auto"/>
      </w:pPr>
      <w:r>
        <w:rPr>
          <w:rFonts w:ascii="Calibri" w:hAnsi="Calibri" w:eastAsia="Microsoft YaHei"/>
          <w:b w:val="0"/>
          <w:i w:val="0"/>
          <w:color w:val="000000"/>
          <w:sz w:val="22"/>
        </w:rPr>
        <w:t>日报月报采用创建时间、支付时间还是入账时间作为归属口径。</w:t>
      </w:r>
    </w:p>
    <w:p>
      <w:pPr>
        <w:pStyle w:val="ListBullet"/>
        <w:spacing w:after="80" w:line="300" w:lineRule="auto"/>
      </w:pPr>
      <w:r>
        <w:rPr>
          <w:rFonts w:ascii="Calibri" w:hAnsi="Calibri" w:eastAsia="Microsoft YaHei"/>
          <w:b w:val="0"/>
          <w:i w:val="0"/>
          <w:color w:val="000000"/>
          <w:sz w:val="22"/>
        </w:rPr>
        <w:t>退款、部分退款、冲正、拒付和争议处理的状态及资金规则。</w:t>
      </w:r>
    </w:p>
    <w:p>
      <w:pPr>
        <w:pStyle w:val="ListBullet"/>
        <w:spacing w:after="80" w:line="300" w:lineRule="auto"/>
      </w:pPr>
      <w:r>
        <w:rPr>
          <w:rFonts w:ascii="Calibri" w:hAnsi="Calibri" w:eastAsia="Microsoft YaHei"/>
          <w:b w:val="0"/>
          <w:i w:val="0"/>
          <w:color w:val="000000"/>
          <w:sz w:val="22"/>
        </w:rPr>
        <w:t>代金券发放范围、叠加、核销、撤回、退款返还和成本归属。</w:t>
      </w:r>
    </w:p>
    <w:p>
      <w:pPr>
        <w:pStyle w:val="ListBullet"/>
        <w:spacing w:after="80" w:line="300" w:lineRule="auto"/>
      </w:pPr>
      <w:r>
        <w:rPr>
          <w:rFonts w:ascii="Calibri" w:hAnsi="Calibri" w:eastAsia="Microsoft YaHei"/>
          <w:b w:val="0"/>
          <w:i w:val="0"/>
          <w:color w:val="000000"/>
          <w:sz w:val="22"/>
        </w:rPr>
        <w:t>完整敏感字段查看、导出审批、文件有效期和审计留存年限。</w:t>
      </w:r>
    </w:p>
    <w:p>
      <w:pPr>
        <w:keepLines/>
        <w:spacing w:before="80" w:after="160" w:line="276" w:lineRule="auto"/>
        <w:shd w:fill="FFF7DD"/>
        <w:pBdr>
          <w:left w:val="single" w:sz="18" w:space="8" w:color="7A5A00"/>
        </w:pBdr>
      </w:pPr>
      <w:r>
        <w:rPr>
          <w:rFonts w:ascii="Calibri" w:hAnsi="Calibri" w:eastAsia="Microsoft YaHei"/>
          <w:b/>
          <w:i w:val="0"/>
          <w:color w:val="7A5A00"/>
          <w:sz w:val="21"/>
        </w:rPr>
        <w:t>评审出口</w:t>
        <w:br/>
      </w:r>
      <w:r>
        <w:rPr>
          <w:rFonts w:ascii="Calibri" w:hAnsi="Calibri" w:eastAsia="Microsoft YaHei"/>
          <w:b w:val="0"/>
          <w:i w:val="0"/>
          <w:color w:val="000000"/>
          <w:sz w:val="20"/>
        </w:rPr>
        <w:t>上述待确认项必须转化为明确数值、状态表、权限矩阵或计算公式后，方可作为开发完成和生产验收依据。</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784" w:val="right"/>
      </w:tabs>
    </w:pPr>
    <w:r>
      <w:rPr>
        <w:rFonts w:ascii="Calibri" w:hAnsi="Calibri" w:eastAsia="Microsoft YaHei"/>
        <w:b w:val="0"/>
        <w:i w:val="0"/>
        <w:color w:val="667085"/>
        <w:sz w:val="18"/>
      </w:rPr>
      <w:t>内部评审稿 · 基于只读界面探查</w:t>
    </w:r>
    <w:r>
      <w:tab/>
    </w:r>
    <w:r>
      <w:rPr>
        <w:rFonts w:ascii="Calibri" w:hAnsi="Calibri" w:eastAsia="Microsoft YaHei"/>
        <w:b w:val="0"/>
        <w:i w:val="0"/>
        <w:color w:val="667085"/>
        <w:sz w:val="18"/>
      </w:rPr>
      <w:t xml:space="preserve">第 </w:t>
      <w:fldChar w:fldCharType="begin"/>
      <w:instrText xml:space="preserve"> PAGE </w:instrText>
      <w:fldChar w:fldCharType="end"/>
    </w:r>
    <w:r>
      <w:rPr>
        <w:rFonts w:ascii="Calibri" w:hAnsi="Calibri" w:eastAsia="Microsoft YaHei"/>
        <w:b w:val="0"/>
        <w:i w:val="0"/>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667085"/>
        <w:sz w:val="18"/>
      </w:rPr>
      <w:t>支付代理商管理系统 | 需求规格说明书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spacing w:after="80" w:line="300" w:lineRule="auto"/>
      <w:ind w:left="936" w:hanging="271"/>
      <w:contextualSpacing/>
    </w:pPr>
    <w:rPr>
      <w:rFonts w:ascii="Calibri" w:hAnsi="Calibri" w:eastAsia="Microsoft YaHe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支付代理商管理系统需求规格说明书</dc:title>
  <dc:subject>代理商、商户进件、审核、资金、交易、报表与营销功能需求</dc:subject>
  <dc:creator/>
  <cp:keywords>支付, 代理商, 商户进件, KYC, 出金, 分账, 需求规格</cp:keywords>
  <dc:description>generated by python-docx</dc:description>
  <cp:lastModifiedBy/>
  <cp:revision>1</cp:revision>
  <dcterms:created xsi:type="dcterms:W3CDTF">2013-12-23T23:15:00Z</dcterms:created>
  <dcterms:modified xsi:type="dcterms:W3CDTF">2013-12-23T23:15:00Z</dcterms:modified>
  <cp:category/>
</cp:coreProperties>
</file>