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5D" w:rsidRDefault="00CA695D">
      <w:r>
        <w:rPr>
          <w:rFonts w:hint="eastAsia"/>
        </w:rPr>
        <w:t>Part A questions</w:t>
      </w:r>
      <w:r>
        <w:t>:</w:t>
      </w:r>
    </w:p>
    <w:p w:rsidR="00CA695D" w:rsidRDefault="00CA695D">
      <w:pPr>
        <w:rPr>
          <w:rFonts w:hint="eastAsia"/>
        </w:rPr>
      </w:pPr>
    </w:p>
    <w:p w:rsidR="00DF5A41" w:rsidRDefault="008026AE">
      <w:r>
        <w:rPr>
          <w:noProof/>
        </w:rPr>
        <w:drawing>
          <wp:inline distT="0" distB="0" distL="0" distR="0" wp14:anchorId="5BB5A0F7" wp14:editId="5E74BCEE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A695D" w:rsidRDefault="00CA695D">
      <w:r>
        <w:rPr>
          <w:rFonts w:hint="eastAsia"/>
        </w:rPr>
        <w:t xml:space="preserve">(The error for LU </w:t>
      </w:r>
      <w:r w:rsidR="00F11628">
        <w:t xml:space="preserve">and QR </w:t>
      </w:r>
      <w:r w:rsidR="00F11628">
        <w:rPr>
          <w:rFonts w:hint="eastAsia"/>
        </w:rPr>
        <w:t>are</w:t>
      </w:r>
      <w:r>
        <w:rPr>
          <w:rFonts w:hint="eastAsia"/>
        </w:rPr>
        <w:t xml:space="preserve"> so close to</w:t>
      </w:r>
      <w:r>
        <w:t xml:space="preserve"> x axis that </w:t>
      </w:r>
      <w:r w:rsidR="00F11628">
        <w:t>they overlap with it. The reason is that these</w:t>
      </w:r>
      <w:r>
        <w:t xml:space="preserve"> </w:t>
      </w:r>
      <w:r w:rsidR="00F11628">
        <w:t xml:space="preserve">two </w:t>
      </w:r>
      <w:r>
        <w:t>error</w:t>
      </w:r>
      <w:r w:rsidR="00F11628">
        <w:t>s are</w:t>
      </w:r>
      <w:r>
        <w:t xml:space="preserve"> too small </w:t>
      </w:r>
      <w:r w:rsidR="00F11628">
        <w:t>compared to the other one.</w:t>
      </w:r>
      <w:r>
        <w:t>)</w:t>
      </w:r>
    </w:p>
    <w:p w:rsidR="00CA695D" w:rsidRDefault="00CA695D"/>
    <w:p w:rsidR="00CA695D" w:rsidRDefault="00CA695D" w:rsidP="00CA69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Calculating an inverse matrix directly to find solution defeats the purpose of making LU</w:t>
      </w:r>
      <w:r>
        <w:t xml:space="preserve"> and QR factorization methods.</w:t>
      </w:r>
    </w:p>
    <w:p w:rsidR="00CA695D" w:rsidRDefault="00CA695D" w:rsidP="00CA695D"/>
    <w:p w:rsidR="00CA695D" w:rsidRDefault="00F11628" w:rsidP="00F116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Using QR factorization is much better than using LU factorization.</w:t>
      </w:r>
      <w:r>
        <w:t xml:space="preserve"> If we focus on square matrices, QR factorization split the system Ax = b into two parts: </w:t>
      </w:r>
      <w:proofErr w:type="spellStart"/>
      <w:r>
        <w:t>Qy</w:t>
      </w:r>
      <w:proofErr w:type="spellEnd"/>
      <w:r>
        <w:t xml:space="preserve"> = b and Rx = y, where Q is an orthogonal matrix and R is an upper triangular matrix. Since the condition number for any orthogonal matrix is 1, the first step </w:t>
      </w:r>
      <w:proofErr w:type="spellStart"/>
      <w:r>
        <w:t>Qy</w:t>
      </w:r>
      <w:proofErr w:type="spellEnd"/>
      <w:r>
        <w:t xml:space="preserve"> = b has no error amplification at all. Then </w:t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 xml:space="preserve">QR) would be simply equal to </w:t>
      </w:r>
      <w:proofErr w:type="spellStart"/>
      <w:r>
        <w:t>cond</w:t>
      </w:r>
      <w:proofErr w:type="spellEnd"/>
      <w:r>
        <w:t>(R), which minimizes the error of solving the entire system. This explains why QR factorization is more stable and accurate than LU factorization.</w:t>
      </w:r>
      <w:bookmarkStart w:id="0" w:name="_GoBack"/>
      <w:bookmarkEnd w:id="0"/>
    </w:p>
    <w:sectPr w:rsidR="00CA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115ED"/>
    <w:multiLevelType w:val="hybridMultilevel"/>
    <w:tmpl w:val="B808C1F6"/>
    <w:lvl w:ilvl="0" w:tplc="333A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C9274A"/>
    <w:multiLevelType w:val="hybridMultilevel"/>
    <w:tmpl w:val="A7B8F1DC"/>
    <w:lvl w:ilvl="0" w:tplc="30407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AE"/>
    <w:rsid w:val="008026AE"/>
    <w:rsid w:val="00CA695D"/>
    <w:rsid w:val="00DF5A41"/>
    <w:rsid w:val="00F1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37111-5FCD-4DB3-834C-BAFC2889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nce\Desktop\Error%20Plo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Errors vs. 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Sheet1!$B$2:$B$20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 formatCode="0.00E+00">
                  <c:v>2.7800000000000003E-17</c:v>
                </c:pt>
                <c:pt idx="3" formatCode="0.00E+00">
                  <c:v>2.7800000000000003E-17</c:v>
                </c:pt>
                <c:pt idx="4" formatCode="0.00E+00">
                  <c:v>2.7800000000000003E-17</c:v>
                </c:pt>
                <c:pt idx="5" formatCode="0.00E+00">
                  <c:v>2.7800000000000003E-17</c:v>
                </c:pt>
                <c:pt idx="6" formatCode="0.00E+00">
                  <c:v>2.7800000000000003E-17</c:v>
                </c:pt>
                <c:pt idx="7" formatCode="0.00E+00">
                  <c:v>2.7800000000000003E-17</c:v>
                </c:pt>
                <c:pt idx="8" formatCode="0.00E+00">
                  <c:v>2.7800000000000003E-17</c:v>
                </c:pt>
                <c:pt idx="9" formatCode="0.00E+00">
                  <c:v>2.7800000000000003E-17</c:v>
                </c:pt>
                <c:pt idx="10" formatCode="0.00E+00">
                  <c:v>2.7800000000000003E-17</c:v>
                </c:pt>
                <c:pt idx="11" formatCode="0.00E+00">
                  <c:v>2.7800000000000003E-17</c:v>
                </c:pt>
                <c:pt idx="12" formatCode="0.00E+00">
                  <c:v>2.7800000000000003E-17</c:v>
                </c:pt>
                <c:pt idx="13" formatCode="0.00E+00">
                  <c:v>2.7800000000000003E-17</c:v>
                </c:pt>
                <c:pt idx="14" formatCode="0.00E+00">
                  <c:v>2.7800000000000003E-17</c:v>
                </c:pt>
                <c:pt idx="15" formatCode="0.00E+00">
                  <c:v>2.7800000000000003E-17</c:v>
                </c:pt>
                <c:pt idx="16" formatCode="0.00E+00">
                  <c:v>2.7800000000000003E-17</c:v>
                </c:pt>
                <c:pt idx="17" formatCode="0.00E+00">
                  <c:v>2.7800000000000003E-17</c:v>
                </c:pt>
                <c:pt idx="18" formatCode="0.00E+00">
                  <c:v>2.7800000000000003E-17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Sheet1!$C$2:$C$20</c:f>
              <c:numCache>
                <c:formatCode>0.00E+00</c:formatCode>
                <c:ptCount val="19"/>
                <c:pt idx="0">
                  <c:v>5.5500000000000002E-17</c:v>
                </c:pt>
                <c:pt idx="1">
                  <c:v>2.7800000000000003E-17</c:v>
                </c:pt>
                <c:pt idx="2">
                  <c:v>8.3300000000000005E-17</c:v>
                </c:pt>
                <c:pt idx="3">
                  <c:v>4.1600000000000001E-17</c:v>
                </c:pt>
                <c:pt idx="4">
                  <c:v>5.5500000000000002E-17</c:v>
                </c:pt>
                <c:pt idx="5">
                  <c:v>2.2200000000000001E-16</c:v>
                </c:pt>
                <c:pt idx="6">
                  <c:v>1.11E-16</c:v>
                </c:pt>
                <c:pt idx="7">
                  <c:v>2.2200000000000001E-16</c:v>
                </c:pt>
                <c:pt idx="8">
                  <c:v>5.5500000000000002E-17</c:v>
                </c:pt>
                <c:pt idx="9">
                  <c:v>2.2200000000000001E-16</c:v>
                </c:pt>
                <c:pt idx="10">
                  <c:v>2.5000000000000002E-16</c:v>
                </c:pt>
                <c:pt idx="11">
                  <c:v>1.11E-16</c:v>
                </c:pt>
                <c:pt idx="12">
                  <c:v>3.4700000000000002E-17</c:v>
                </c:pt>
                <c:pt idx="13">
                  <c:v>5.5500000000000002E-17</c:v>
                </c:pt>
                <c:pt idx="14">
                  <c:v>1.3900000000000002E-17</c:v>
                </c:pt>
                <c:pt idx="15">
                  <c:v>2.08E-17</c:v>
                </c:pt>
                <c:pt idx="16">
                  <c:v>4.8599999999999997E-17</c:v>
                </c:pt>
                <c:pt idx="17">
                  <c:v>6.9390000000000004E-17</c:v>
                </c:pt>
                <c:pt idx="18">
                  <c:v>1.11E-16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Xsolution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Sheet1!$D$2:$D$20</c:f>
              <c:numCache>
                <c:formatCode>0.00E+00</c:formatCode>
                <c:ptCount val="19"/>
                <c:pt idx="0">
                  <c:v>7.8500000000000006E-17</c:v>
                </c:pt>
                <c:pt idx="1">
                  <c:v>1.64E-16</c:v>
                </c:pt>
                <c:pt idx="2">
                  <c:v>3.7499999999999998E-16</c:v>
                </c:pt>
                <c:pt idx="3">
                  <c:v>1.32E-15</c:v>
                </c:pt>
                <c:pt idx="4">
                  <c:v>4.7399999999999997E-15</c:v>
                </c:pt>
                <c:pt idx="5">
                  <c:v>5.9299999999999997E-15</c:v>
                </c:pt>
                <c:pt idx="6">
                  <c:v>2.83E-14</c:v>
                </c:pt>
                <c:pt idx="7">
                  <c:v>1.06E-13</c:v>
                </c:pt>
                <c:pt idx="8">
                  <c:v>1.95E-13</c:v>
                </c:pt>
                <c:pt idx="9">
                  <c:v>4.0599999999999999E-13</c:v>
                </c:pt>
                <c:pt idx="10">
                  <c:v>1.51E-12</c:v>
                </c:pt>
                <c:pt idx="11">
                  <c:v>1.38E-11</c:v>
                </c:pt>
                <c:pt idx="12">
                  <c:v>5.7099999999999999E-13</c:v>
                </c:pt>
                <c:pt idx="13">
                  <c:v>3.5899999999999998E-13</c:v>
                </c:pt>
                <c:pt idx="14">
                  <c:v>9.5199999999999998E-13</c:v>
                </c:pt>
                <c:pt idx="15">
                  <c:v>1.5599999999999999E-13</c:v>
                </c:pt>
                <c:pt idx="16">
                  <c:v>6.3699999999999997E-12</c:v>
                </c:pt>
                <c:pt idx="17">
                  <c:v>1.3299999999999999E-13</c:v>
                </c:pt>
                <c:pt idx="18">
                  <c:v>6.5200000000000002E-15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5075248"/>
        <c:axId val="1275076336"/>
      </c:lineChart>
      <c:catAx>
        <c:axId val="127507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5076336"/>
        <c:crosses val="autoZero"/>
        <c:auto val="1"/>
        <c:lblAlgn val="ctr"/>
        <c:lblOffset val="100"/>
        <c:noMultiLvlLbl val="0"/>
      </c:catAx>
      <c:valAx>
        <c:axId val="127507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Error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7507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Li</dc:creator>
  <cp:keywords/>
  <dc:description/>
  <cp:lastModifiedBy>Lance Li</cp:lastModifiedBy>
  <cp:revision>1</cp:revision>
  <dcterms:created xsi:type="dcterms:W3CDTF">2015-03-29T18:32:00Z</dcterms:created>
  <dcterms:modified xsi:type="dcterms:W3CDTF">2015-03-29T19:19:00Z</dcterms:modified>
</cp:coreProperties>
</file>