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000000" w:sz="12" w:space="8"/>
        </w:pBdr>
        <w:spacing w:after="200"/>
        <w:jc w:val="center"/>
      </w:pPr>
      <w:r>
        <w:rPr>
          <w:b/>
          <w:bCs/>
          <w:color w:val="000000"/>
          <w:sz w:val="34"/>
          <w:szCs w:val="34"/>
        </w:rPr>
        <w:t xml:space="preserve">MCM Nomad Passport — 기획서 (2차 개정)</w:t>
      </w:r>
    </w:p>
    <w:p>
      <w:pPr>
        <w:spacing w:after="40" w:line="280"/>
      </w:pPr>
      <w:r>
        <w:rPr>
          <w:b/>
          <w:bCs/>
          <w:color w:val="000000"/>
          <w:sz w:val="20"/>
          <w:szCs w:val="20"/>
        </w:rPr>
        <w:t xml:space="preserve">트랙: </w:t>
      </w:r>
      <w:r>
        <w:rPr>
          <w:color w:val="000000"/>
          <w:sz w:val="20"/>
          <w:szCs w:val="20"/>
        </w:rPr>
        <w:t xml:space="preserve">SJF(성주재단·MCM) · Challenge 03, 360° 고객경험</w:t>
      </w:r>
    </w:p>
    <w:p>
      <w:pPr>
        <w:spacing w:after="40" w:line="280"/>
      </w:pPr>
      <w:r>
        <w:rPr>
          <w:b/>
          <w:bCs/>
          <w:color w:val="000000"/>
          <w:sz w:val="20"/>
          <w:szCs w:val="20"/>
        </w:rPr>
        <w:t xml:space="preserve">한 줄 정의: </w:t>
      </w:r>
      <w:r>
        <w:rPr>
          <w:color w:val="000000"/>
          <w:sz w:val="20"/>
          <w:szCs w:val="20"/>
        </w:rPr>
        <w:t xml:space="preserve">구매 전부터 리세일까지, 제품의 생애주기 전체를 기록하는 디지털 여권</w:t>
      </w:r>
    </w:p>
    <w:p>
      <w:pPr>
        <w:spacing w:after="200"/>
      </w:pPr>
    </w:p>
    <w:p>
      <w:pPr>
        <w:pStyle w:val="Heading2"/>
        <w:spacing w:after="160" w:before="380"/>
      </w:pPr>
      <w:r>
        <w:rPr>
          <w:b/>
          <w:bCs/>
          <w:color w:val="000000"/>
          <w:sz w:val="27"/>
          <w:szCs w:val="27"/>
        </w:rPr>
        <w:t xml:space="preserve">1. 배경</w:t>
      </w:r>
    </w:p>
    <w:p>
      <w:pPr>
        <w:spacing w:after="160" w:line="320"/>
      </w:pPr>
      <w:r>
        <w:rPr>
          <w:color w:val="000000"/>
          <w:sz w:val="22"/>
          <w:szCs w:val="22"/>
        </w:rPr>
        <w:t xml:space="preserve">글로벌 럭셔리 리세일 시장은 2025년 379.5억 달러에서 2026년 416.1억 달러로 성장했으며, 2030년에는 601.1억 달러에 이를 것으로 전망된다. 이는 연평균 약 9.6%의 성장세로, 시장의 지속적인 확대를 보여준다</w:t>
      </w:r>
      <w:bookmarkStart w:name="ref1" w:id="1"/>
      <w:r>
        <w:rPr>
          <w:sz w:val="2"/>
          <w:szCs w:val="2"/>
        </w:rPr>
        <w:t xml:space="preserve"/>
      </w:r>
      <w:bookmarkEnd w:id="1"/>
      <w:hyperlink w:history="1" w:anchor="fn1">
        <w:r>
          <w:rPr>
            <w:b/>
            <w:bCs/>
            <w:color w:val="000000"/>
            <w:sz w:val="18"/>
            <w:szCs w:val="18"/>
            <w:u w:val="single"/>
            <w:vertAlign w:val="superscript"/>
          </w:rPr>
          <w:t xml:space="preserve">[1]</w:t>
        </w:r>
      </w:hyperlink>
      <w:r>
        <w:rPr>
          <w:color w:val="000000"/>
          <w:sz w:val="22"/>
          <w:szCs w:val="22"/>
        </w:rPr>
        <w:t xml:space="preserve">.</w:t>
      </w:r>
    </w:p>
    <w:p>
      <w:pPr>
        <w:spacing w:after="60" w:before="10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057400"/>
                    </a:xfrm>
                    <a:prstGeom prst="rect">
                      <a:avLst/>
                    </a:prstGeom>
                  </pic:spPr>
                </pic:pic>
              </a:graphicData>
            </a:graphic>
          </wp:inline>
        </w:drawing>
      </w:r>
    </w:p>
    <w:p>
      <w:pPr>
        <w:spacing w:after="160" w:line="320"/>
      </w:pPr>
      <w:r>
        <w:rPr>
          <w:color w:val="000000"/>
          <w:sz w:val="22"/>
          <w:szCs w:val="22"/>
        </w:rPr>
        <w:t xml:space="preserve">시장 규모가 확대됨에 따라 리세일 상품의 신뢰성을 확보하는 것 역시 중요한 과제로 부상하고 있다. 리세일 구매자의 41%는 여전히 정품 여부를 우려하고 있으며, 이 때문에 플랫폼의 51%가 정품 인증 라벨이나 자체 검수 절차를 도입하고 있다</w:t>
      </w:r>
      <w:bookmarkStart w:name="ref2" w:id="1"/>
      <w:r>
        <w:rPr>
          <w:sz w:val="2"/>
          <w:szCs w:val="2"/>
        </w:rPr>
        <w:t xml:space="preserve"/>
      </w:r>
      <w:bookmarkEnd w:id="1"/>
      <w:hyperlink w:history="1" w:anchor="fn2">
        <w:r>
          <w:rPr>
            <w:b/>
            <w:bCs/>
            <w:color w:val="000000"/>
            <w:sz w:val="18"/>
            <w:szCs w:val="18"/>
            <w:u w:val="single"/>
            <w:vertAlign w:val="superscript"/>
          </w:rPr>
          <w:t xml:space="preserve">[2]</w:t>
        </w:r>
      </w:hyperlink>
      <w:r>
        <w:rPr>
          <w:color w:val="000000"/>
          <w:sz w:val="22"/>
          <w:szCs w:val="22"/>
        </w:rPr>
        <w:t xml:space="preserve">. 특히 가방류는 리세일 시장에서 약 36~38%의 비중을 차지하는 주요 거래 품목이며, 거래의 72% 이상이 온라인을 중심으로 이뤄지면서 구매자가 상품의 진위와 상태를 직접 확인하기 어려운 정보 비대칭 문제가 발생한다. 오프라인에서는 이미 이런 격차를 메우려는 시도가 이뤄지고 있다 — 실제로 한 글로벌 럭셔리 브랜드 매장을 방문했을 때, 담당 직원이 정품 감정과 수선 상담을 매장에서 즉석으로 제공하는 것을 확인했다.</w:t>
      </w:r>
    </w:p>
    <w:p>
      <w:pPr>
        <w:spacing w:after="160" w:line="320"/>
      </w:pPr>
      <w:r>
        <w:rPr>
          <w:color w:val="000000"/>
          <w:sz w:val="22"/>
          <w:szCs w:val="22"/>
        </w:rPr>
        <w:t xml:space="preserve">이러한 문제를 MCM의 제품 정보와 연결해 볼 수 있다. MCM 제품의 황동 플레이트에는 개체를 식별할 수 있는 시리얼 번호가 각인되어 있으며, 신형 제품은 영문자 1개와 숫자 4자리, 빈티지 제품은 숫자 4자리 형태의 시리얼이 로고 플레이트 하단에 각인되는 사례가 확인된다. 여러 정품 감정 가이드를 교차 확인했으나, 이 시리얼을 소비자가 직접 조회할 수 있는 공식 온라인 서비스는 확인되지 않으며 공식 확인은 별도의 전문 감정 절차가 필요하다. 즉 MCM 제품에는 개체를 식별할 수 있는 정보가 이미 존재하지만, 이를 소비자가 쉽게 활용할 수 있는 디지털 수단은 부족하다.</w:t>
      </w:r>
    </w:p>
    <w:p>
      <w:pPr>
        <w:spacing w:after="160" w:line="320"/>
      </w:pPr>
      <w:r>
        <w:rPr>
          <w:color w:val="000000"/>
          <w:sz w:val="22"/>
          <w:szCs w:val="22"/>
        </w:rPr>
        <w:t xml:space="preserve">럭셔리 업계에서는 제품의 식별 정보와 이력 데이터를 디지털화하려는 움직임이 확대되고 있다. LVMH, OTB Group, Prada Group, Cartier 등이 참여한 Aura Blockchain Consortium을 비롯해 여러 럭셔리 브랜드가 블록체인 기반의 디지털 제품 인증 및 디지털 제품 여권(Digital Product Passport)을 도입하고 있으며, 제품의 수리 이력·보증·소유 관련 정보를 관리하는 등 구매 이후의 경험까지 확장하고 있다</w:t>
      </w:r>
      <w:bookmarkStart w:name="ref3" w:id="1"/>
      <w:r>
        <w:rPr>
          <w:sz w:val="2"/>
          <w:szCs w:val="2"/>
        </w:rPr>
        <w:t xml:space="preserve"/>
      </w:r>
      <w:bookmarkEnd w:id="1"/>
      <w:hyperlink w:history="1" w:anchor="fn3">
        <w:r>
          <w:rPr>
            <w:b/>
            <w:bCs/>
            <w:color w:val="000000"/>
            <w:sz w:val="18"/>
            <w:szCs w:val="18"/>
            <w:u w:val="single"/>
            <w:vertAlign w:val="superscript"/>
          </w:rPr>
          <w:t xml:space="preserve">[3]</w:t>
        </w:r>
      </w:hyperlink>
      <w:r>
        <w:rPr>
          <w:color w:val="000000"/>
          <w:sz w:val="22"/>
          <w:szCs w:val="22"/>
        </w:rPr>
        <w:t xml:space="preserve">. 더 나아가 EU는 지속가능제품생태디자인규정(ESPR)에 따라 패션·섬유 분야를 디지털 제품 여권의 우선 적용 대상으로 지정했다. 다만 아직은 프레임워크 단계로, 섬유 품목별 세부규정(delegated act)은 순차적으로 채택되어 그로부터 일정 기간 뒤에야 실질적인 의무화가 시작될 것으로 예상된다</w:t>
      </w:r>
      <w:bookmarkStart w:name="ref4" w:id="1"/>
      <w:r>
        <w:rPr>
          <w:sz w:val="2"/>
          <w:szCs w:val="2"/>
        </w:rPr>
        <w:t xml:space="preserve"/>
      </w:r>
      <w:bookmarkEnd w:id="1"/>
      <w:hyperlink w:history="1" w:anchor="fn4">
        <w:r>
          <w:rPr>
            <w:b/>
            <w:bCs/>
            <w:color w:val="000000"/>
            <w:sz w:val="18"/>
            <w:szCs w:val="18"/>
            <w:u w:val="single"/>
            <w:vertAlign w:val="superscript"/>
          </w:rPr>
          <w:t xml:space="preserve">[4]</w:t>
        </w:r>
      </w:hyperlink>
      <w:r>
        <w:rPr>
          <w:color w:val="000000"/>
          <w:sz w:val="22"/>
          <w:szCs w:val="22"/>
        </w:rPr>
        <w:t xml:space="preserve">. 당장은 아니지만 방향 자체는 이미 업계 표준으로 굳어지고 있다. 참고로 위조·불법복제품은 전 세계 무역의 약 2.5%, 약 4,640억 달러 규모에 달하는 것으로 추정된다</w:t>
      </w:r>
      <w:bookmarkStart w:name="ref5" w:id="1"/>
      <w:r>
        <w:rPr>
          <w:sz w:val="2"/>
          <w:szCs w:val="2"/>
        </w:rPr>
        <w:t xml:space="preserve"/>
      </w:r>
      <w:bookmarkEnd w:id="1"/>
      <w:hyperlink w:history="1" w:anchor="fn5">
        <w:r>
          <w:rPr>
            <w:b/>
            <w:bCs/>
            <w:color w:val="000000"/>
            <w:sz w:val="18"/>
            <w:szCs w:val="18"/>
            <w:u w:val="single"/>
            <w:vertAlign w:val="superscript"/>
          </w:rPr>
          <w:t xml:space="preserve">[5]</w:t>
        </w:r>
      </w:hyperlink>
      <w:r>
        <w:rPr>
          <w:color w:val="000000"/>
          <w:sz w:val="22"/>
          <w:szCs w:val="22"/>
        </w:rPr>
        <w:t xml:space="preserve">. 위조품 문제와 리세일 시장의 성장, 디지털 제품 정보에 대한 산업·규제적 요구가 동시에 나타나면서 제품의 신뢰성을 디지털 방식으로 확보하는 것은 점차 중요한 과제가 되고 있다.</w:t>
      </w:r>
    </w:p>
    <w:p>
      <w:pPr>
        <w:spacing w:after="160" w:line="320"/>
      </w:pPr>
      <w:r>
        <w:rPr>
          <w:color w:val="000000"/>
          <w:sz w:val="22"/>
          <w:szCs w:val="22"/>
        </w:rPr>
        <w:t xml:space="preserve">MCM은 여기에 더해 이동성과 여행, 도시적 헤리티지라는 브랜드 고유의 정체성을 갖고 있다. 따라서 제품에 남은 사용 흔적을 결함이나 감가 요소로만 보는 것이 아니라, 제품이 거쳐온 시간과 여정을 보여주는 정보로 해석할 수 있다. 제품 식별 정보와 AI 기반 상태 분석을 결합하면, 정품 여부와 상태 확인을 넘어 사용 이력과 가치를 디지털화하는 새로운 리세일 경험으로 확장할 수 있다.</w:t>
      </w:r>
    </w:p>
    <w:p>
      <w:pPr>
        <w:pStyle w:val="Heading2"/>
        <w:spacing w:after="160" w:before="380"/>
      </w:pPr>
      <w:r>
        <w:rPr>
          <w:b/>
          <w:bCs/>
          <w:color w:val="000000"/>
          <w:sz w:val="27"/>
          <w:szCs w:val="27"/>
        </w:rPr>
        <w:t xml:space="preserve">2. 문제 정의</w:t>
      </w:r>
    </w:p>
    <w:p>
      <w:pPr>
        <w:spacing w:after="160" w:line="320"/>
      </w:pPr>
      <w:r>
        <w:rPr>
          <w:color w:val="000000"/>
          <w:sz w:val="22"/>
          <w:szCs w:val="22"/>
        </w:rPr>
        <w:t xml:space="preserve">럭셔리 브랜드는 판매 순간의 경험은 정교하게 설계하지만, 고객이 제품을 소유한 이후의 상태와 관리 여정은 충분히 파악하지 못한다. 그 결과 고객은 언제 관리해야 하는지 모르고, 브랜드 역시 어떤 근거와 타이밍으로 다시 연결해야 자연스러운지 알기 어렵다. 이 문제는 네 겹으로 나타난다.</w:t>
      </w:r>
    </w:p>
    <w:p>
      <w:pPr>
        <w:spacing w:after="160" w:line="320"/>
      </w:pPr>
      <w:r>
        <w:rPr>
          <w:b/>
          <w:bCs/>
          <w:color w:val="000000"/>
          <w:sz w:val="22"/>
          <w:szCs w:val="22"/>
        </w:rPr>
        <w:t xml:space="preserve">1. 리세일 시 개별 제품의 관리 이력을 신뢰성 있게 증명할 방법이 없다. </w:t>
      </w:r>
      <w:r>
        <w:rPr>
          <w:color w:val="000000"/>
          <w:sz w:val="22"/>
          <w:szCs w:val="22"/>
        </w:rPr>
        <w:t xml:space="preserve">럭셔리 리세일 구매자의 41%가 정품 여부를 우려하는 상황에서, 관리 이력까지 증명된 개체는 더 높은 가치를 인정받을 수 있음에도 그 이력 자체가 존재하지 않는다. 이것이 이 서비스가 존재해야 하는 가장 직접적인 이유다.</w:t>
      </w:r>
    </w:p>
    <w:p>
      <w:pPr>
        <w:pStyle w:val="ListParagraph"/>
        <w:numPr>
          <w:ilvl w:val="0"/>
          <w:numId w:val="2"/>
        </w:numPr>
        <w:spacing w:after="100" w:line="300"/>
      </w:pPr>
      <w:r>
        <w:rPr>
          <w:color w:val="000000"/>
          <w:sz w:val="22"/>
          <w:szCs w:val="22"/>
        </w:rPr>
        <w:t xml:space="preserve">제품 구매 후 브랜드와의 지속적인 접점이 부족하다</w:t>
      </w:r>
    </w:p>
    <w:p>
      <w:pPr>
        <w:pStyle w:val="ListParagraph"/>
        <w:numPr>
          <w:ilvl w:val="0"/>
          <w:numId w:val="2"/>
        </w:numPr>
        <w:spacing w:after="100" w:line="300"/>
      </w:pPr>
      <w:r>
        <w:rPr>
          <w:color w:val="000000"/>
          <w:sz w:val="22"/>
          <w:szCs w:val="22"/>
        </w:rPr>
        <w:t xml:space="preserve">고객은 마모 상태와 적정 관리 시점을 객관적으로 판단하기 어렵다</w:t>
      </w:r>
    </w:p>
    <w:p>
      <w:pPr>
        <w:pStyle w:val="ListParagraph"/>
        <w:numPr>
          <w:ilvl w:val="0"/>
          <w:numId w:val="2"/>
        </w:numPr>
        <w:spacing w:after="100" w:line="300"/>
      </w:pPr>
      <w:r>
        <w:rPr>
          <w:color w:val="000000"/>
          <w:sz w:val="22"/>
          <w:szCs w:val="22"/>
        </w:rPr>
        <w:t xml:space="preserve">브랜드는 획일적인 캠페인 외에 고객에게 연락할 근거가 부족하다</w:t>
      </w:r>
    </w:p>
    <w:p>
      <w:pPr>
        <w:pStyle w:val="Heading2"/>
        <w:spacing w:after="160" w:before="380"/>
      </w:pPr>
      <w:r>
        <w:rPr>
          <w:b/>
          <w:bCs/>
          <w:color w:val="000000"/>
          <w:sz w:val="27"/>
          <w:szCs w:val="27"/>
        </w:rPr>
        <w:t xml:space="preserve">3. 솔루션</w:t>
      </w:r>
    </w:p>
    <w:p>
      <w:pPr>
        <w:spacing w:after="160" w:line="320"/>
      </w:pPr>
      <w:r>
        <w:rPr>
          <w:color w:val="000000"/>
          <w:sz w:val="22"/>
          <w:szCs w:val="22"/>
        </w:rPr>
        <w:t xml:space="preserve">본 아이디어를 설명하기 전에 명확히 하자면, </w:t>
      </w:r>
      <w:r>
        <w:rPr>
          <w:b/>
          <w:bCs/>
          <w:color w:val="000000"/>
          <w:sz w:val="22"/>
          <w:szCs w:val="22"/>
        </w:rPr>
        <w:t xml:space="preserve">MCM Nomad Passport는 정품 감정(authentication) 서비스가 아니다.</w:t>
      </w:r>
      <w:r>
        <w:rPr>
          <w:color w:val="000000"/>
          <w:sz w:val="22"/>
          <w:szCs w:val="22"/>
        </w:rPr>
        <w:t xml:space="preserve"> 여러 기능 중 하나인 Verified Patina는 제품의 마모·관리 상태를 기록하고 해석하는 도구이며, 정품 여부에 대한 어떠한 판정도 내리지 않는다. 정품 확인이 필요한 경우 고객은 MCM 공식 매장 또는 지정된 전문 감정 채널을 이용해야 하며, 본 서비스가 제공하는 것은 오직 소유 기간 동안의 상태·관리 기록이다.</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600"/>
        <w:gridCol w:w="6400"/>
      </w:tblGrid>
      <w:tr>
        <w:trPr>
          <w:tblHeader/>
        </w:trPr>
        <w:tc>
          <w:tcPr>
            <w:tcW w:type="dxa" w:w="2600"/>
            <w:shd w:fill="EAEAEA" w:color="auto" w:val="clear"/>
            <w:tcMar>
              <w:top w:type="dxa" w:w="100"/>
              <w:left w:type="dxa" w:w="120"/>
              <w:bottom w:type="dxa" w:w="100"/>
              <w:right w:type="dxa" w:w="120"/>
            </w:tcMar>
          </w:tcPr>
          <w:p>
            <w:r>
              <w:rPr>
                <w:b/>
                <w:bCs/>
                <w:color w:val="000000"/>
                <w:sz w:val="20"/>
                <w:szCs w:val="20"/>
              </w:rPr>
              <w:t xml:space="preserve">구성요소</w:t>
            </w:r>
          </w:p>
        </w:tc>
        <w:tc>
          <w:tcPr>
            <w:tcW w:type="dxa" w:w="6400"/>
            <w:shd w:fill="EAEAEA" w:color="auto" w:val="clear"/>
            <w:tcMar>
              <w:top w:type="dxa" w:w="100"/>
              <w:left w:type="dxa" w:w="120"/>
              <w:bottom w:type="dxa" w:w="100"/>
              <w:right w:type="dxa" w:w="120"/>
            </w:tcMar>
          </w:tcPr>
          <w:p>
            <w:r>
              <w:rPr>
                <w:b/>
                <w:bCs/>
                <w:color w:val="000000"/>
                <w:sz w:val="20"/>
                <w:szCs w:val="20"/>
              </w:rPr>
              <w:t xml:space="preserve">역할</w:t>
            </w:r>
          </w:p>
        </w:tc>
      </w:tr>
      <w:tr>
        <w:tc>
          <w:tcPr>
            <w:tcW w:type="dxa" w:w="2600"/>
            <w:tcMar>
              <w:top w:type="dxa" w:w="90"/>
              <w:left w:type="dxa" w:w="120"/>
              <w:bottom w:type="dxa" w:w="90"/>
              <w:right w:type="dxa" w:w="120"/>
            </w:tcMar>
          </w:tcPr>
          <w:p>
            <w:pPr>
              <w:spacing w:line="280"/>
            </w:pPr>
            <w:r>
              <w:rPr>
                <w:color w:val="000000"/>
                <w:sz w:val="20"/>
                <w:szCs w:val="20"/>
              </w:rPr>
              <w:t xml:space="preserve">Passport</w:t>
            </w:r>
          </w:p>
        </w:tc>
        <w:tc>
          <w:tcPr>
            <w:tcW w:type="dxa" w:w="6400"/>
            <w:tcMar>
              <w:top w:type="dxa" w:w="90"/>
              <w:left w:type="dxa" w:w="120"/>
              <w:bottom w:type="dxa" w:w="90"/>
              <w:right w:type="dxa" w:w="120"/>
            </w:tcMar>
          </w:tcPr>
          <w:p>
            <w:pPr>
              <w:spacing w:line="280"/>
            </w:pPr>
            <w:r>
              <w:rPr>
                <w:color w:val="000000"/>
                <w:sz w:val="20"/>
                <w:szCs w:val="20"/>
              </w:rPr>
              <w:t xml:space="preserve">제품별 구매·진단·케어·사용 이력을 축적하는 데이터 그릇</w:t>
            </w:r>
          </w:p>
        </w:tc>
      </w:tr>
      <w:tr>
        <w:tc>
          <w:tcPr>
            <w:tcW w:type="dxa" w:w="2600"/>
            <w:tcMar>
              <w:top w:type="dxa" w:w="90"/>
              <w:left w:type="dxa" w:w="120"/>
              <w:bottom w:type="dxa" w:w="90"/>
              <w:right w:type="dxa" w:w="120"/>
            </w:tcMar>
          </w:tcPr>
          <w:p>
            <w:pPr>
              <w:spacing w:line="280"/>
            </w:pPr>
            <w:r>
              <w:rPr>
                <w:color w:val="000000"/>
                <w:sz w:val="20"/>
                <w:szCs w:val="20"/>
              </w:rPr>
              <w:t xml:space="preserve">Verified Patina</w:t>
            </w:r>
          </w:p>
        </w:tc>
        <w:tc>
          <w:tcPr>
            <w:tcW w:type="dxa" w:w="6400"/>
            <w:tcMar>
              <w:top w:type="dxa" w:w="90"/>
              <w:left w:type="dxa" w:w="120"/>
              <w:bottom w:type="dxa" w:w="90"/>
              <w:right w:type="dxa" w:w="120"/>
            </w:tcMar>
          </w:tcPr>
          <w:p>
            <w:pPr>
              <w:spacing w:line="280"/>
            </w:pPr>
            <w:r>
              <w:rPr>
                <w:color w:val="000000"/>
                <w:sz w:val="20"/>
                <w:szCs w:val="20"/>
              </w:rPr>
              <w:t xml:space="preserve">사진을 통해 마모·코팅 벗겨짐·변색·부자재 상태를 평가</w:t>
            </w:r>
          </w:p>
        </w:tc>
      </w:tr>
      <w:tr>
        <w:tc>
          <w:tcPr>
            <w:tcW w:type="dxa" w:w="2600"/>
            <w:tcMar>
              <w:top w:type="dxa" w:w="90"/>
              <w:left w:type="dxa" w:w="120"/>
              <w:bottom w:type="dxa" w:w="90"/>
              <w:right w:type="dxa" w:w="120"/>
            </w:tcMar>
          </w:tcPr>
          <w:p>
            <w:pPr>
              <w:spacing w:line="280"/>
            </w:pPr>
            <w:r>
              <w:rPr>
                <w:color w:val="000000"/>
                <w:sz w:val="20"/>
                <w:szCs w:val="20"/>
              </w:rPr>
              <w:t xml:space="preserve">Lifecycle Curator</w:t>
            </w:r>
          </w:p>
        </w:tc>
        <w:tc>
          <w:tcPr>
            <w:tcW w:type="dxa" w:w="6400"/>
            <w:tcMar>
              <w:top w:type="dxa" w:w="90"/>
              <w:left w:type="dxa" w:w="120"/>
              <w:bottom w:type="dxa" w:w="90"/>
              <w:right w:type="dxa" w:w="120"/>
            </w:tcMar>
          </w:tcPr>
          <w:p>
            <w:pPr>
              <w:spacing w:line="280"/>
            </w:pPr>
            <w:r>
              <w:rPr>
                <w:color w:val="000000"/>
                <w:sz w:val="20"/>
                <w:szCs w:val="20"/>
              </w:rPr>
              <w:t xml:space="preserve">제품 상태와 사용 맥락을 근거로 셀프케어·공식수선·재구매 시점을 제안</w:t>
            </w:r>
          </w:p>
        </w:tc>
      </w:tr>
      <w:tr>
        <w:tc>
          <w:tcPr>
            <w:tcW w:type="dxa" w:w="2600"/>
            <w:tcMar>
              <w:top w:type="dxa" w:w="90"/>
              <w:left w:type="dxa" w:w="120"/>
              <w:bottom w:type="dxa" w:w="90"/>
              <w:right w:type="dxa" w:w="120"/>
            </w:tcMar>
          </w:tcPr>
          <w:p>
            <w:pPr>
              <w:spacing w:line="280"/>
            </w:pPr>
            <w:r>
              <w:rPr>
                <w:color w:val="000000"/>
                <w:sz w:val="20"/>
                <w:szCs w:val="20"/>
              </w:rPr>
              <w:t xml:space="preserve">Concierge</w:t>
            </w:r>
          </w:p>
        </w:tc>
        <w:tc>
          <w:tcPr>
            <w:tcW w:type="dxa" w:w="6400"/>
            <w:tcMar>
              <w:top w:type="dxa" w:w="90"/>
              <w:left w:type="dxa" w:w="120"/>
              <w:bottom w:type="dxa" w:w="90"/>
              <w:right w:type="dxa" w:w="120"/>
            </w:tcMar>
          </w:tcPr>
          <w:p>
            <w:pPr>
              <w:spacing w:line="280"/>
            </w:pPr>
            <w:r>
              <w:rPr>
                <w:color w:val="000000"/>
                <w:sz w:val="20"/>
                <w:szCs w:val="20"/>
              </w:rPr>
              <w:t xml:space="preserve">여권 기록과 AR을 활용해 구매 전·중·후 경험을 연결하는 고객 인터페이스</w:t>
            </w:r>
          </w:p>
        </w:tc>
      </w:tr>
    </w:tbl>
    <w:p>
      <w:pPr>
        <w:spacing w:after="120"/>
      </w:pPr>
    </w:p>
    <w:p>
      <w:pPr>
        <w:spacing w:after="160" w:line="320"/>
      </w:pPr>
      <w:r>
        <w:rPr>
          <w:color w:val="000000"/>
          <w:sz w:val="22"/>
          <w:szCs w:val="22"/>
        </w:rPr>
        <w:t xml:space="preserve">본 서비스는 제품마다 하나의 디지털 여권을 만들어 구매·방문·사용·진단·케어 이력을 시간순으로 기록한다. 사진 기반 마모 진단인 Verified Patina가 제품의 실제 상태를 분석하고, Lifecycle Curator가 그 결과와 구매일·사용 정보·계절성을 종합해 관리 또는 재구매의 적절한 시점을 제안한다. 가장 중요하게 지키려는 원칙은 하나다. 모든 알림에는 상태 점수와 변화량 같은 판단 근거를 함께 표시해서, 고객이 "왜 지금 이 알림을 받았는지"를 항상 알 수 있게 한다.</w:t>
      </w:r>
    </w:p>
    <w:p>
      <w:pPr>
        <w:pStyle w:val="Heading3"/>
        <w:spacing w:after="120" w:before="260"/>
      </w:pPr>
      <w:r>
        <w:rPr>
          <w:b/>
          <w:bCs/>
          <w:color w:val="000000"/>
          <w:sz w:val="23"/>
          <w:szCs w:val="23"/>
        </w:rPr>
        <w:t xml:space="preserve">Care-First 원칙</w:t>
      </w:r>
    </w:p>
    <w:p>
      <w:pPr>
        <w:spacing w:after="160" w:line="320"/>
      </w:pPr>
      <w:r>
        <w:rPr>
          <w:color w:val="000000"/>
          <w:sz w:val="22"/>
          <w:szCs w:val="22"/>
        </w:rPr>
        <w:t xml:space="preserve">재구매 시점을 제안할 때는 다음과 같은 명확한 기준을 토대로 한다. 재구매 제안은 다음 세 조건 중 하나를 충족할 때만 표시한다.</w:t>
      </w:r>
    </w:p>
    <w:p>
      <w:pPr>
        <w:pStyle w:val="ListParagraph"/>
        <w:numPr>
          <w:ilvl w:val="0"/>
          <w:numId w:val="2"/>
        </w:numPr>
        <w:spacing w:after="100" w:line="300"/>
      </w:pPr>
      <w:r>
        <w:rPr>
          <w:color w:val="000000"/>
          <w:sz w:val="22"/>
          <w:szCs w:val="22"/>
        </w:rPr>
        <w:t xml:space="preserve">수선이 불가능한 손상 상태일 때</w:t>
      </w:r>
    </w:p>
    <w:p>
      <w:pPr>
        <w:pStyle w:val="ListParagraph"/>
        <w:numPr>
          <w:ilvl w:val="0"/>
          <w:numId w:val="2"/>
        </w:numPr>
        <w:spacing w:after="100" w:line="300"/>
      </w:pPr>
      <w:r>
        <w:rPr>
          <w:color w:val="000000"/>
          <w:sz w:val="22"/>
          <w:szCs w:val="22"/>
        </w:rPr>
        <w:t xml:space="preserve">소유 기간이 일정 연차를 넘어섰을 때</w:t>
      </w:r>
    </w:p>
    <w:p>
      <w:pPr>
        <w:pStyle w:val="ListParagraph"/>
        <w:numPr>
          <w:ilvl w:val="0"/>
          <w:numId w:val="2"/>
        </w:numPr>
        <w:spacing w:after="100" w:line="300"/>
      </w:pPr>
      <w:r>
        <w:rPr>
          <w:color w:val="000000"/>
          <w:sz w:val="22"/>
          <w:szCs w:val="22"/>
        </w:rPr>
        <w:t xml:space="preserve">고객이 먼저 관심을 표명했을 때</w:t>
      </w:r>
    </w:p>
    <w:p>
      <w:pPr>
        <w:spacing w:after="160" w:line="320"/>
      </w:pPr>
      <w:r>
        <w:rPr>
          <w:color w:val="000000"/>
          <w:sz w:val="22"/>
          <w:szCs w:val="22"/>
        </w:rPr>
        <w:t xml:space="preserve">이 세 조건에 해당하지 않으면 화면에는 수선·케어 옵션만 제시한다. 재구매 화면에도 "수선하기"를 항상 동등한 위치에 함께 보여준다.</w:t>
      </w:r>
    </w:p>
    <w:p>
      <w:pPr>
        <w:spacing w:after="160" w:line="320"/>
      </w:pPr>
      <w:r>
        <w:rPr>
          <w:color w:val="000000"/>
          <w:sz w:val="22"/>
          <w:szCs w:val="22"/>
        </w:rPr>
        <w:t xml:space="preserve">알림 빈도도 같은 원칙을 따른다 — 개체 하나당 월 발송 상한을 두고, 고객이 "지금은 아니다"를 선택하면 다음 주기로 미룬다. 과도한 접촉은 그 자체로 럭셔리 브랜드 경험을 해친다.</w:t>
      </w:r>
    </w:p>
    <w:p>
      <w:pPr>
        <w:pStyle w:val="Heading2"/>
        <w:spacing w:after="160" w:before="380"/>
      </w:pPr>
      <w:r>
        <w:rPr>
          <w:b/>
          <w:bCs/>
          <w:color w:val="000000"/>
          <w:sz w:val="27"/>
          <w:szCs w:val="27"/>
        </w:rPr>
        <w:t xml:space="preserve">4. 차별점</w:t>
      </w:r>
    </w:p>
    <w:p>
      <w:pPr>
        <w:spacing w:after="160" w:line="320"/>
      </w:pPr>
      <w:r>
        <w:rPr>
          <w:color w:val="000000"/>
          <w:sz w:val="22"/>
          <w:szCs w:val="22"/>
        </w:rPr>
        <w:t xml:space="preserve">사진으로 마모를 분석하는 AI 자체는 이제 특별한 기술이 아니다. 이 서비스의 차별점은 진단 결과를 한 번의 화면으로 끝내지 않고, MCM 제품의 개별 식별 정보와 연결된 Passport에 누적시켜 브랜드의 케어 경험과 리커머스 가능성으로 확장한다는 구조에 있다. 더 나아가, 기존 디지털 제품 여권(DPP) 대부분이 구매 이후 시점에만 작동하는 것과 달리, MCM Nomad Passport는 구매 전(Concierge 헤리티지 스토리)부터 구매 중(AR 제품 히스토리 조회), 구매 후(Passport)까지 고객 여정 전체에 접점을 갖는다.</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300"/>
        <w:gridCol w:w="1700"/>
        <w:gridCol w:w="2000"/>
        <w:gridCol w:w="1900"/>
        <w:gridCol w:w="2100"/>
      </w:tblGrid>
      <w:tr>
        <w:trPr>
          <w:tblHeader/>
        </w:trPr>
        <w:tc>
          <w:tcPr>
            <w:tcW w:type="dxa" w:w="1300"/>
            <w:shd w:fill="EAEAEA" w:color="auto" w:val="clear"/>
            <w:tcMar>
              <w:top w:type="dxa" w:w="100"/>
              <w:left w:type="dxa" w:w="120"/>
              <w:bottom w:type="dxa" w:w="100"/>
              <w:right w:type="dxa" w:w="120"/>
            </w:tcMar>
          </w:tcPr>
          <w:p>
            <w:r>
              <w:rPr>
                <w:b/>
                <w:bCs/>
                <w:color w:val="000000"/>
                <w:sz w:val="20"/>
                <w:szCs w:val="20"/>
              </w:rPr>
              <w:t xml:space="preserve">구분</w:t>
            </w:r>
          </w:p>
        </w:tc>
        <w:tc>
          <w:tcPr>
            <w:tcW w:type="dxa" w:w="1700"/>
            <w:shd w:fill="EAEAEA" w:color="auto" w:val="clear"/>
            <w:tcMar>
              <w:top w:type="dxa" w:w="100"/>
              <w:left w:type="dxa" w:w="120"/>
              <w:bottom w:type="dxa" w:w="100"/>
              <w:right w:type="dxa" w:w="120"/>
            </w:tcMar>
          </w:tcPr>
          <w:p>
            <w:r>
              <w:rPr>
                <w:b/>
                <w:bCs/>
                <w:color w:val="000000"/>
                <w:sz w:val="20"/>
                <w:szCs w:val="20"/>
              </w:rPr>
              <w:t xml:space="preserve">현상 유지</w:t>
            </w:r>
          </w:p>
        </w:tc>
        <w:tc>
          <w:tcPr>
            <w:tcW w:type="dxa" w:w="2000"/>
            <w:shd w:fill="EAEAEA" w:color="auto" w:val="clear"/>
            <w:tcMar>
              <w:top w:type="dxa" w:w="100"/>
              <w:left w:type="dxa" w:w="120"/>
              <w:bottom w:type="dxa" w:w="100"/>
              <w:right w:type="dxa" w:w="120"/>
            </w:tcMar>
          </w:tcPr>
          <w:p>
            <w:r>
              <w:rPr>
                <w:b/>
                <w:bCs/>
                <w:color w:val="000000"/>
                <w:sz w:val="20"/>
                <w:szCs w:val="20"/>
              </w:rPr>
              <w:t xml:space="preserve">중고 플랫폼 자체 검수</w:t>
            </w:r>
          </w:p>
        </w:tc>
        <w:tc>
          <w:tcPr>
            <w:tcW w:type="dxa" w:w="1900"/>
            <w:shd w:fill="EAEAEA" w:color="auto" w:val="clear"/>
            <w:tcMar>
              <w:top w:type="dxa" w:w="100"/>
              <w:left w:type="dxa" w:w="120"/>
              <w:bottom w:type="dxa" w:w="100"/>
              <w:right w:type="dxa" w:w="120"/>
            </w:tcMar>
          </w:tcPr>
          <w:p>
            <w:r>
              <w:rPr>
                <w:b/>
                <w:bCs/>
                <w:color w:val="000000"/>
                <w:sz w:val="20"/>
                <w:szCs w:val="20"/>
              </w:rPr>
              <w:t xml:space="preserve">기존 DPP</w:t>
            </w:r>
          </w:p>
        </w:tc>
        <w:tc>
          <w:tcPr>
            <w:tcW w:type="dxa" w:w="2100"/>
            <w:shd w:fill="EAEAEA" w:color="auto" w:val="clear"/>
            <w:tcMar>
              <w:top w:type="dxa" w:w="100"/>
              <w:left w:type="dxa" w:w="120"/>
              <w:bottom w:type="dxa" w:w="100"/>
              <w:right w:type="dxa" w:w="120"/>
            </w:tcMar>
          </w:tcPr>
          <w:p>
            <w:r>
              <w:rPr>
                <w:b/>
                <w:bCs/>
                <w:color w:val="000000"/>
                <w:sz w:val="20"/>
                <w:szCs w:val="20"/>
              </w:rPr>
              <w:t xml:space="preserve">MCM Nomad Passport</w:t>
            </w:r>
          </w:p>
        </w:tc>
      </w:tr>
      <w:tr>
        <w:tc>
          <w:tcPr>
            <w:tcW w:type="dxa" w:w="1300"/>
            <w:tcMar>
              <w:top w:type="dxa" w:w="90"/>
              <w:left w:type="dxa" w:w="120"/>
              <w:bottom w:type="dxa" w:w="90"/>
              <w:right w:type="dxa" w:w="120"/>
            </w:tcMar>
          </w:tcPr>
          <w:p>
            <w:pPr>
              <w:spacing w:line="280"/>
            </w:pPr>
            <w:r>
              <w:rPr>
                <w:color w:val="000000"/>
                <w:sz w:val="20"/>
                <w:szCs w:val="20"/>
              </w:rPr>
              <w:t xml:space="preserve">관리 이력</w:t>
            </w:r>
          </w:p>
        </w:tc>
        <w:tc>
          <w:tcPr>
            <w:tcW w:type="dxa" w:w="1700"/>
            <w:tcMar>
              <w:top w:type="dxa" w:w="90"/>
              <w:left w:type="dxa" w:w="120"/>
              <w:bottom w:type="dxa" w:w="90"/>
              <w:right w:type="dxa" w:w="120"/>
            </w:tcMar>
          </w:tcPr>
          <w:p>
            <w:pPr>
              <w:spacing w:line="280"/>
            </w:pPr>
            <w:r>
              <w:rPr>
                <w:color w:val="000000"/>
                <w:sz w:val="20"/>
                <w:szCs w:val="20"/>
              </w:rPr>
              <w:t xml:space="preserve">없음</w:t>
            </w:r>
          </w:p>
        </w:tc>
        <w:tc>
          <w:tcPr>
            <w:tcW w:type="dxa" w:w="2000"/>
            <w:tcMar>
              <w:top w:type="dxa" w:w="90"/>
              <w:left w:type="dxa" w:w="120"/>
              <w:bottom w:type="dxa" w:w="90"/>
              <w:right w:type="dxa" w:w="120"/>
            </w:tcMar>
          </w:tcPr>
          <w:p>
            <w:pPr>
              <w:spacing w:line="280"/>
            </w:pPr>
            <w:r>
              <w:rPr>
                <w:color w:val="000000"/>
                <w:sz w:val="20"/>
                <w:szCs w:val="20"/>
              </w:rPr>
              <w:t xml:space="preserve">없음(1회성 검수)</w:t>
            </w:r>
          </w:p>
        </w:tc>
        <w:tc>
          <w:tcPr>
            <w:tcW w:type="dxa" w:w="1900"/>
            <w:tcMar>
              <w:top w:type="dxa" w:w="90"/>
              <w:left w:type="dxa" w:w="120"/>
              <w:bottom w:type="dxa" w:w="90"/>
              <w:right w:type="dxa" w:w="120"/>
            </w:tcMar>
          </w:tcPr>
          <w:p>
            <w:pPr>
              <w:spacing w:line="280"/>
            </w:pPr>
            <w:r>
              <w:rPr>
                <w:color w:val="000000"/>
                <w:sz w:val="20"/>
                <w:szCs w:val="20"/>
              </w:rPr>
              <w:t xml:space="preserve">없음(진위 증명 중심)</w:t>
            </w:r>
          </w:p>
        </w:tc>
        <w:tc>
          <w:tcPr>
            <w:tcW w:type="dxa" w:w="2100"/>
            <w:tcMar>
              <w:top w:type="dxa" w:w="90"/>
              <w:left w:type="dxa" w:w="120"/>
              <w:bottom w:type="dxa" w:w="90"/>
              <w:right w:type="dxa" w:w="120"/>
            </w:tcMar>
          </w:tcPr>
          <w:p>
            <w:pPr>
              <w:spacing w:line="280"/>
            </w:pPr>
            <w:r>
              <w:rPr>
                <w:color w:val="000000"/>
                <w:sz w:val="20"/>
                <w:szCs w:val="20"/>
              </w:rPr>
              <w:t xml:space="preserve">있음(누적)</w:t>
            </w:r>
          </w:p>
        </w:tc>
      </w:tr>
      <w:tr>
        <w:tc>
          <w:tcPr>
            <w:tcW w:type="dxa" w:w="1300"/>
            <w:tcMar>
              <w:top w:type="dxa" w:w="90"/>
              <w:left w:type="dxa" w:w="120"/>
              <w:bottom w:type="dxa" w:w="90"/>
              <w:right w:type="dxa" w:w="120"/>
            </w:tcMar>
          </w:tcPr>
          <w:p>
            <w:pPr>
              <w:spacing w:line="280"/>
            </w:pPr>
            <w:r>
              <w:rPr>
                <w:color w:val="000000"/>
                <w:sz w:val="20"/>
                <w:szCs w:val="20"/>
              </w:rPr>
              <w:t xml:space="preserve">케어 제안</w:t>
            </w:r>
          </w:p>
        </w:tc>
        <w:tc>
          <w:tcPr>
            <w:tcW w:type="dxa" w:w="1700"/>
            <w:tcMar>
              <w:top w:type="dxa" w:w="90"/>
              <w:left w:type="dxa" w:w="120"/>
              <w:bottom w:type="dxa" w:w="90"/>
              <w:right w:type="dxa" w:w="120"/>
            </w:tcMar>
          </w:tcPr>
          <w:p>
            <w:pPr>
              <w:spacing w:line="280"/>
            </w:pPr>
            <w:r>
              <w:rPr>
                <w:color w:val="000000"/>
                <w:sz w:val="20"/>
                <w:szCs w:val="20"/>
              </w:rPr>
              <w:t xml:space="preserve">없음</w:t>
            </w:r>
          </w:p>
        </w:tc>
        <w:tc>
          <w:tcPr>
            <w:tcW w:type="dxa" w:w="2000"/>
            <w:tcMar>
              <w:top w:type="dxa" w:w="90"/>
              <w:left w:type="dxa" w:w="120"/>
              <w:bottom w:type="dxa" w:w="90"/>
              <w:right w:type="dxa" w:w="120"/>
            </w:tcMar>
          </w:tcPr>
          <w:p>
            <w:pPr>
              <w:spacing w:line="280"/>
            </w:pPr>
            <w:r>
              <w:rPr>
                <w:color w:val="000000"/>
                <w:sz w:val="20"/>
                <w:szCs w:val="20"/>
              </w:rPr>
              <w:t xml:space="preserve">없음</w:t>
            </w:r>
          </w:p>
        </w:tc>
        <w:tc>
          <w:tcPr>
            <w:tcW w:type="dxa" w:w="1900"/>
            <w:tcMar>
              <w:top w:type="dxa" w:w="90"/>
              <w:left w:type="dxa" w:w="120"/>
              <w:bottom w:type="dxa" w:w="90"/>
              <w:right w:type="dxa" w:w="120"/>
            </w:tcMar>
          </w:tcPr>
          <w:p>
            <w:pPr>
              <w:spacing w:line="280"/>
            </w:pPr>
            <w:r>
              <w:rPr>
                <w:color w:val="000000"/>
                <w:sz w:val="20"/>
                <w:szCs w:val="20"/>
              </w:rPr>
              <w:t xml:space="preserve">없음</w:t>
            </w:r>
          </w:p>
        </w:tc>
        <w:tc>
          <w:tcPr>
            <w:tcW w:type="dxa" w:w="2100"/>
            <w:tcMar>
              <w:top w:type="dxa" w:w="90"/>
              <w:left w:type="dxa" w:w="120"/>
              <w:bottom w:type="dxa" w:w="90"/>
              <w:right w:type="dxa" w:w="120"/>
            </w:tcMar>
          </w:tcPr>
          <w:p>
            <w:pPr>
              <w:spacing w:line="280"/>
            </w:pPr>
            <w:r>
              <w:rPr>
                <w:color w:val="000000"/>
                <w:sz w:val="20"/>
                <w:szCs w:val="20"/>
              </w:rPr>
              <w:t xml:space="preserve">있음(Lifecycle Curator)</w:t>
            </w:r>
          </w:p>
        </w:tc>
      </w:tr>
      <w:tr>
        <w:tc>
          <w:tcPr>
            <w:tcW w:type="dxa" w:w="1300"/>
            <w:tcMar>
              <w:top w:type="dxa" w:w="90"/>
              <w:left w:type="dxa" w:w="120"/>
              <w:bottom w:type="dxa" w:w="90"/>
              <w:right w:type="dxa" w:w="120"/>
            </w:tcMar>
          </w:tcPr>
          <w:p>
            <w:pPr>
              <w:spacing w:line="280"/>
            </w:pPr>
            <w:r>
              <w:rPr>
                <w:color w:val="000000"/>
                <w:sz w:val="20"/>
                <w:szCs w:val="20"/>
              </w:rPr>
              <w:t xml:space="preserve">적용 시점</w:t>
            </w:r>
          </w:p>
        </w:tc>
        <w:tc>
          <w:tcPr>
            <w:tcW w:type="dxa" w:w="1700"/>
            <w:tcMar>
              <w:top w:type="dxa" w:w="90"/>
              <w:left w:type="dxa" w:w="120"/>
              <w:bottom w:type="dxa" w:w="90"/>
              <w:right w:type="dxa" w:w="120"/>
            </w:tcMar>
          </w:tcPr>
          <w:p>
            <w:pPr>
              <w:spacing w:line="280"/>
            </w:pPr>
            <w:r>
              <w:rPr>
                <w:color w:val="000000"/>
                <w:sz w:val="20"/>
                <w:szCs w:val="20"/>
              </w:rPr>
              <w:t xml:space="preserve">해당 없음</w:t>
            </w:r>
          </w:p>
        </w:tc>
        <w:tc>
          <w:tcPr>
            <w:tcW w:type="dxa" w:w="2000"/>
            <w:tcMar>
              <w:top w:type="dxa" w:w="90"/>
              <w:left w:type="dxa" w:w="120"/>
              <w:bottom w:type="dxa" w:w="90"/>
              <w:right w:type="dxa" w:w="120"/>
            </w:tcMar>
          </w:tcPr>
          <w:p>
            <w:pPr>
              <w:spacing w:line="280"/>
            </w:pPr>
            <w:r>
              <w:rPr>
                <w:color w:val="000000"/>
                <w:sz w:val="20"/>
                <w:szCs w:val="20"/>
              </w:rPr>
              <w:t xml:space="preserve">판매 시점만</w:t>
            </w:r>
          </w:p>
        </w:tc>
        <w:tc>
          <w:tcPr>
            <w:tcW w:type="dxa" w:w="1900"/>
            <w:tcMar>
              <w:top w:type="dxa" w:w="90"/>
              <w:left w:type="dxa" w:w="120"/>
              <w:bottom w:type="dxa" w:w="90"/>
              <w:right w:type="dxa" w:w="120"/>
            </w:tcMar>
          </w:tcPr>
          <w:p>
            <w:pPr>
              <w:spacing w:line="280"/>
            </w:pPr>
            <w:r>
              <w:rPr>
                <w:color w:val="000000"/>
                <w:sz w:val="20"/>
                <w:szCs w:val="20"/>
              </w:rPr>
              <w:t xml:space="preserve">구매 후만</w:t>
            </w:r>
          </w:p>
        </w:tc>
        <w:tc>
          <w:tcPr>
            <w:tcW w:type="dxa" w:w="2100"/>
            <w:tcMar>
              <w:top w:type="dxa" w:w="90"/>
              <w:left w:type="dxa" w:w="120"/>
              <w:bottom w:type="dxa" w:w="90"/>
              <w:right w:type="dxa" w:w="120"/>
            </w:tcMar>
          </w:tcPr>
          <w:p>
            <w:pPr>
              <w:spacing w:line="280"/>
            </w:pPr>
            <w:r>
              <w:rPr>
                <w:color w:val="000000"/>
                <w:sz w:val="20"/>
                <w:szCs w:val="20"/>
              </w:rPr>
              <w:t xml:space="preserve">구매 전·중·후</w:t>
            </w:r>
          </w:p>
        </w:tc>
      </w:tr>
      <w:tr>
        <w:tc>
          <w:tcPr>
            <w:tcW w:type="dxa" w:w="1300"/>
            <w:tcMar>
              <w:top w:type="dxa" w:w="90"/>
              <w:left w:type="dxa" w:w="120"/>
              <w:bottom w:type="dxa" w:w="90"/>
              <w:right w:type="dxa" w:w="120"/>
            </w:tcMar>
          </w:tcPr>
          <w:p>
            <w:pPr>
              <w:spacing w:line="280"/>
            </w:pPr>
            <w:r>
              <w:rPr>
                <w:color w:val="000000"/>
                <w:sz w:val="20"/>
                <w:szCs w:val="20"/>
              </w:rPr>
              <w:t xml:space="preserve">브랜드 연결</w:t>
            </w:r>
          </w:p>
        </w:tc>
        <w:tc>
          <w:tcPr>
            <w:tcW w:type="dxa" w:w="1700"/>
            <w:tcMar>
              <w:top w:type="dxa" w:w="90"/>
              <w:left w:type="dxa" w:w="120"/>
              <w:bottom w:type="dxa" w:w="90"/>
              <w:right w:type="dxa" w:w="120"/>
            </w:tcMar>
          </w:tcPr>
          <w:p>
            <w:pPr>
              <w:spacing w:line="280"/>
            </w:pPr>
            <w:r>
              <w:rPr>
                <w:color w:val="000000"/>
                <w:sz w:val="20"/>
                <w:szCs w:val="20"/>
              </w:rPr>
              <w:t xml:space="preserve">약함</w:t>
            </w:r>
          </w:p>
        </w:tc>
        <w:tc>
          <w:tcPr>
            <w:tcW w:type="dxa" w:w="2000"/>
            <w:tcMar>
              <w:top w:type="dxa" w:w="90"/>
              <w:left w:type="dxa" w:w="120"/>
              <w:bottom w:type="dxa" w:w="90"/>
              <w:right w:type="dxa" w:w="120"/>
            </w:tcMar>
          </w:tcPr>
          <w:p>
            <w:pPr>
              <w:spacing w:line="280"/>
            </w:pPr>
            <w:r>
              <w:rPr>
                <w:color w:val="000000"/>
                <w:sz w:val="20"/>
                <w:szCs w:val="20"/>
              </w:rPr>
              <w:t xml:space="preserve">없음(제3자)</w:t>
            </w:r>
          </w:p>
        </w:tc>
        <w:tc>
          <w:tcPr>
            <w:tcW w:type="dxa" w:w="1900"/>
            <w:tcMar>
              <w:top w:type="dxa" w:w="90"/>
              <w:left w:type="dxa" w:w="120"/>
              <w:bottom w:type="dxa" w:w="90"/>
              <w:right w:type="dxa" w:w="120"/>
            </w:tcMar>
          </w:tcPr>
          <w:p>
            <w:pPr>
              <w:spacing w:line="280"/>
            </w:pPr>
            <w:r>
              <w:rPr>
                <w:color w:val="000000"/>
                <w:sz w:val="20"/>
                <w:szCs w:val="20"/>
              </w:rPr>
              <w:t xml:space="preserve">브랜드 참여 필요</w:t>
            </w:r>
          </w:p>
        </w:tc>
        <w:tc>
          <w:tcPr>
            <w:tcW w:type="dxa" w:w="2100"/>
            <w:tcMar>
              <w:top w:type="dxa" w:w="90"/>
              <w:left w:type="dxa" w:w="120"/>
              <w:bottom w:type="dxa" w:w="90"/>
              <w:right w:type="dxa" w:w="120"/>
            </w:tcMar>
          </w:tcPr>
          <w:p>
            <w:pPr>
              <w:spacing w:line="280"/>
            </w:pPr>
            <w:r>
              <w:rPr>
                <w:color w:val="000000"/>
                <w:sz w:val="20"/>
                <w:szCs w:val="20"/>
              </w:rPr>
              <w:t xml:space="preserve">브랜드 소유 데이터</w:t>
            </w:r>
          </w:p>
        </w:tc>
      </w:tr>
    </w:tbl>
    <w:p>
      <w:pPr>
        <w:spacing w:after="120"/>
      </w:pPr>
    </w:p>
    <w:p>
      <w:pPr>
        <w:pStyle w:val="Heading3"/>
        <w:spacing w:after="120" w:before="260"/>
      </w:pPr>
      <w:r>
        <w:rPr>
          <w:b/>
          <w:bCs/>
          <w:color w:val="000000"/>
          <w:sz w:val="23"/>
          <w:szCs w:val="23"/>
        </w:rPr>
        <w:t xml:space="preserve">MCM만이 가진 근거</w:t>
      </w:r>
    </w:p>
    <w:p>
      <w:pPr>
        <w:pStyle w:val="ListParagraph"/>
        <w:numPr>
          <w:ilvl w:val="0"/>
          <w:numId w:val="2"/>
        </w:numPr>
        <w:spacing w:after="100" w:line="300"/>
      </w:pPr>
      <w:r>
        <w:rPr>
          <w:color w:val="000000"/>
          <w:sz w:val="22"/>
          <w:szCs w:val="22"/>
        </w:rPr>
        <w:t xml:space="preserve">제품 라인업과 개별 식별 정보(황동 플레이트 시리얼)가 디지털 여권의 기반이 된다</w:t>
      </w:r>
    </w:p>
    <w:p>
      <w:pPr>
        <w:pStyle w:val="ListParagraph"/>
        <w:numPr>
          <w:ilvl w:val="0"/>
          <w:numId w:val="2"/>
        </w:numPr>
        <w:spacing w:after="100" w:line="300"/>
      </w:pPr>
      <w:r>
        <w:rPr>
          <w:color w:val="000000"/>
          <w:sz w:val="22"/>
          <w:szCs w:val="22"/>
        </w:rPr>
        <w:t xml:space="preserve">매장은 자가 진단보다 높은 신뢰도의 공식 진단·케어 접점이 된다</w:t>
      </w:r>
    </w:p>
    <w:p>
      <w:pPr>
        <w:pStyle w:val="ListParagraph"/>
        <w:numPr>
          <w:ilvl w:val="0"/>
          <w:numId w:val="2"/>
        </w:numPr>
        <w:spacing w:after="100" w:line="300"/>
      </w:pPr>
      <w:r>
        <w:rPr>
          <w:color w:val="000000"/>
          <w:sz w:val="22"/>
          <w:szCs w:val="22"/>
        </w:rPr>
        <w:t xml:space="preserve">멤버십과 구매 이력은 초기 Passport 생성과 개인화의 출발점이 된다</w:t>
      </w:r>
    </w:p>
    <w:p>
      <w:pPr>
        <w:pStyle w:val="ListParagraph"/>
        <w:numPr>
          <w:ilvl w:val="0"/>
          <w:numId w:val="2"/>
        </w:numPr>
        <w:spacing w:after="100" w:line="300"/>
      </w:pPr>
      <w:r>
        <w:rPr>
          <w:color w:val="000000"/>
          <w:sz w:val="22"/>
          <w:szCs w:val="22"/>
        </w:rPr>
        <w:t xml:space="preserve">AR 제품 히스토리 조회는 구매를 결정하는 바로 그 순간(구매 중)에 작동해, 구매 후에만 등장하는 다른 DPP 솔루션들과 접점 자체가 다르다</w:t>
      </w:r>
    </w:p>
    <w:p>
      <w:pPr>
        <w:pStyle w:val="ListParagraph"/>
        <w:numPr>
          <w:ilvl w:val="0"/>
          <w:numId w:val="2"/>
        </w:numPr>
        <w:spacing w:after="100" w:line="300"/>
      </w:pPr>
      <w:r>
        <w:rPr>
          <w:color w:val="000000"/>
          <w:sz w:val="22"/>
          <w:szCs w:val="22"/>
        </w:rPr>
        <w:t xml:space="preserve">여행·이동·헤리티지라는 브랜드 정체성이 Passport·Journey·Stamp라는 서사를 자연스럽게 만든다</w:t>
      </w:r>
    </w:p>
    <w:p>
      <w:pPr>
        <w:pStyle w:val="ListParagraph"/>
        <w:numPr>
          <w:ilvl w:val="0"/>
          <w:numId w:val="2"/>
        </w:numPr>
        <w:spacing w:after="100" w:line="300"/>
      </w:pPr>
      <w:r>
        <w:rPr>
          <w:color w:val="000000"/>
          <w:sz w:val="22"/>
          <w:szCs w:val="22"/>
        </w:rPr>
        <w:t xml:space="preserve">포인트·출석·랭킹 같은 게임형 언어 대신 Journey, Archive, Stamp, Care 같은 언어를 써서, 제품에 남는 흔적을 결함이 아닌 여정으로 해석한다</w:t>
      </w:r>
    </w:p>
    <w:p>
      <w:pPr>
        <w:spacing w:after="60"/>
      </w:pPr>
    </w:p>
    <w:p>
      <w:pPr>
        <w:pStyle w:val="Heading3"/>
        <w:spacing w:after="120" w:before="260"/>
      </w:pPr>
      <w:r>
        <w:rPr>
          <w:b/>
          <w:bCs/>
          <w:color w:val="000000"/>
          <w:sz w:val="23"/>
          <w:szCs w:val="23"/>
        </w:rPr>
        <w:t xml:space="preserve">여권 승계</w:t>
      </w:r>
    </w:p>
    <w:p>
      <w:pPr>
        <w:spacing w:after="160" w:line="320"/>
      </w:pPr>
      <w:r>
        <w:rPr>
          <w:color w:val="000000"/>
          <w:sz w:val="22"/>
          <w:szCs w:val="22"/>
        </w:rPr>
        <w:t xml:space="preserve">제품을 되팔 때는 이전 소유자의 여권을 새 소유자 계정으로 그대로 넘기는 승계 절차를 둔다. purchaseYear는 현재 소유자의 구매연도로 정의하며, 승계가 완료되면 새 소유자의 실제 구매연도로 갱신된다. 시리얼+구매연도 조합에 소유자가 항상 한 명으로 고정되기 때문에, 시리얼 조합 가짓수가 크지 않다는 한계가 여러 사람이 같은 시리얼을 동시에 등록하는 문제로 번지지는 않는다. 여권 삭제는 되돌릴 수 없으며, 승계 절차 없이 동일 시리얼로 재등록하는 것 자체는 가능하지만 이전 이력과는 연결되지 않는 완전히 새로운 개체로 취급된다 — 즉 승계 절차를 건너뛴다고 해서 이전 소유자의 진단·케어 이력을 가져올 수는 없다.</w:t>
      </w:r>
    </w:p>
    <w:p>
      <w:pPr>
        <w:spacing w:after="60"/>
      </w:pPr>
    </w:p>
    <w:p>
      <w:pPr>
        <w:spacing w:after="160" w:line="320"/>
      </w:pPr>
      <w:r>
        <w:rPr>
          <w:color w:val="000000"/>
          <w:sz w:val="22"/>
          <w:szCs w:val="22"/>
        </w:rPr>
        <w:t xml:space="preserve">이 서비스가 기록하는 것은 </w:t>
      </w:r>
      <w:r>
        <w:rPr>
          <w:b/>
          <w:bCs/>
          <w:color w:val="000000"/>
          <w:sz w:val="22"/>
          <w:szCs w:val="22"/>
        </w:rPr>
        <w:t xml:space="preserve">소유자 본인의 제품 상태와 관리 이력</w:t>
      </w:r>
      <w:r>
        <w:rPr>
          <w:color w:val="000000"/>
          <w:sz w:val="22"/>
          <w:szCs w:val="22"/>
        </w:rPr>
        <w:t xml:space="preserve">이지, 정품 여부에 대한 판정이 아니다. 정품 확인이 필요한 경우는 지금과 마찬가지로 전문 감정사나 공식 채널을 이용하면 된다.</w:t>
      </w:r>
    </w:p>
    <w:p>
      <w:pPr>
        <w:pStyle w:val="Heading2"/>
        <w:spacing w:after="160" w:before="380"/>
      </w:pPr>
      <w:r>
        <w:rPr>
          <w:b/>
          <w:bCs/>
          <w:color w:val="000000"/>
          <w:sz w:val="27"/>
          <w:szCs w:val="27"/>
        </w:rPr>
        <w:t xml:space="preserve">5. 타겟과 사용 시나리오</w:t>
      </w:r>
    </w:p>
    <w:p>
      <w:pPr>
        <w:spacing w:after="160" w:line="320"/>
      </w:pPr>
      <w:r>
        <w:rPr>
          <w:b/>
          <w:bCs/>
          <w:color w:val="000000"/>
          <w:sz w:val="22"/>
          <w:szCs w:val="22"/>
        </w:rPr>
        <w:t xml:space="preserve">타겟: </w:t>
      </w:r>
      <w:r>
        <w:rPr>
          <w:color w:val="000000"/>
          <w:sz w:val="22"/>
          <w:szCs w:val="22"/>
        </w:rPr>
        <w:t xml:space="preserve">MCM 매장을 방문하거나 구매를 고려 중인 고객부터 MCM 제품을 이미 보유한 고객까지를 포괄한다. 1차로는 시리얼 확인이 쉬운 헤리티지 컬렉션과 기존 멤버십 고객부터 시작하며, 여행 빈도와 관계없이 제품을 오래 잘 관리해서 쓰고 싶어하지만 관리 시점을 스스로 판단하기 어려운 사람들이 핵심이다.</w:t>
      </w:r>
    </w:p>
    <w:p>
      <w:pPr>
        <w:spacing w:after="160" w:line="320"/>
      </w:pPr>
      <w:r>
        <w:rPr>
          <w:b/>
          <w:bCs/>
          <w:color w:val="000000"/>
          <w:sz w:val="22"/>
          <w:szCs w:val="22"/>
        </w:rPr>
        <w:t xml:space="preserve">시나리오: </w:t>
      </w:r>
      <w:r>
        <w:rPr>
          <w:color w:val="000000"/>
          <w:sz w:val="22"/>
          <w:szCs w:val="22"/>
        </w:rPr>
        <w:t xml:space="preserve">고객은 매장에 들어서기 전부터 Concierge 헤리티지 스토리로 MCM 컬렉션의 여정을 접한다. 매장에서 실제 제품을 두고 구매를 고민할 때는 AR로 그 제품의 히스토리를 즉석에서 확인할 수 있다. 구매를 결정하면 시리얼 번호를 스캔해 디지털 여권이 생성된다. 이후 주기적으로 사진을 찍어 마모 상태를 진단하면 여권에 기록이 쌓이고, 서비스는 그 기록을 바탕으로 지금이 관리나 재구매를 고려할 시점인지 알려준다. 나중에 제품을 리세일할 때는 이 여권 기록을 근거로 관리 이력을 증명할 수 있다.</w:t>
      </w:r>
    </w:p>
    <w:p>
      <w:pPr>
        <w:pStyle w:val="Heading2"/>
        <w:spacing w:after="160" w:before="380"/>
      </w:pPr>
      <w:r>
        <w:rPr>
          <w:b/>
          <w:bCs/>
          <w:color w:val="000000"/>
          <w:sz w:val="27"/>
          <w:szCs w:val="27"/>
        </w:rPr>
        <w:t xml:space="preserve">6. 서비스 설계 &amp; 흐름도</w:t>
      </w:r>
    </w:p>
    <w:p>
      <w:pPr>
        <w:spacing w:after="160" w:line="320"/>
      </w:pPr>
      <w:r>
        <w:rPr>
          <w:color w:val="000000"/>
          <w:sz w:val="22"/>
          <w:szCs w:val="22"/>
        </w:rPr>
        <w:t xml:space="preserve">서비스의 구조를 전체 흐름 → 유스케이스 → 아키텍처 → 데이터 모델 → 상태 흐름 → 시퀀스 순서로 정리한다.</w:t>
      </w:r>
    </w:p>
    <w:p>
      <w:pPr>
        <w:pStyle w:val="Heading3"/>
        <w:spacing w:after="120" w:before="260"/>
      </w:pPr>
      <w:r>
        <w:rPr>
          <w:b/>
          <w:bCs/>
          <w:color w:val="000000"/>
          <w:sz w:val="23"/>
          <w:szCs w:val="23"/>
        </w:rPr>
        <w:t xml:space="preserve">전체 시스템 흐름도 (360° Nomad Journey)</w:t>
      </w:r>
    </w:p>
    <w:p>
      <w:pPr>
        <w:spacing w:after="60" w:before="100"/>
        <w:jc w:val="center"/>
      </w:pPr>
      <w:r>
        <w:drawing>
          <wp:inline distT="0" distB="0" distL="0" distR="0">
            <wp:extent cx="4572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4114800"/>
                    </a:xfrm>
                    <a:prstGeom prst="rect">
                      <a:avLst/>
                    </a:prstGeom>
                  </pic:spPr>
                </pic:pic>
              </a:graphicData>
            </a:graphic>
          </wp:inline>
        </w:drawing>
      </w:r>
    </w:p>
    <w:p>
      <w:pPr>
        <w:spacing w:after="200"/>
        <w:jc w:val="center"/>
      </w:pPr>
      <w:r>
        <w:rPr>
          <w:i/>
          <w:iCs/>
          <w:color w:val="666666"/>
          <w:sz w:val="19"/>
          <w:szCs w:val="19"/>
        </w:rPr>
        <w:t xml:space="preserve">그림 1. 전체 시스템 흐름도</w:t>
      </w:r>
    </w:p>
    <w:p>
      <w:pPr>
        <w:spacing w:after="160" w:line="320"/>
      </w:pPr>
      <w:r>
        <w:rPr>
          <w:color w:val="000000"/>
          <w:sz w:val="22"/>
          <w:szCs w:val="22"/>
        </w:rPr>
        <w:t xml:space="preserve">구매 전(Concierge 헤리티지 스토리) → 구매 중(AR 제품 히스토리 조회) → 구매 확정·온보딩(시리얼 스캔) → 여권 생성 → 소유 기간 루프(Verified Patina 진단 → 라이프사이클 분석 → 행동 연결 → 기록 갱신) → 리세일·소유권 이전, 총 9단계로 이어지고 새 소유자가 다시 Concierge·AR로 그 제품을 만나며 360° 여정이 완료된다. 행동 연결 단계에서 갈라지는 오프라인 루프는 매장 방문 시 공식 진단·수선이 여권에 스탬프로 반영되는 흐름이다.</w:t>
      </w:r>
    </w:p>
    <w:p>
      <w:pPr>
        <w:pStyle w:val="Heading3"/>
        <w:spacing w:after="120" w:before="260"/>
      </w:pPr>
      <w:r>
        <w:rPr>
          <w:b/>
          <w:bCs/>
          <w:color w:val="000000"/>
          <w:sz w:val="23"/>
          <w:szCs w:val="23"/>
        </w:rPr>
        <w:t xml:space="preserve">유스케이스 다이어그램</w:t>
      </w:r>
    </w:p>
    <w:p>
      <w:pPr>
        <w:spacing w:after="60" w:before="100"/>
        <w:jc w:val="center"/>
      </w:pPr>
      <w:r>
        <w:drawing>
          <wp:inline distT="0" distB="0" distL="0" distR="0">
            <wp:extent cx="438150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667250"/>
                    </a:xfrm>
                    <a:prstGeom prst="rect">
                      <a:avLst/>
                    </a:prstGeom>
                  </pic:spPr>
                </pic:pic>
              </a:graphicData>
            </a:graphic>
          </wp:inline>
        </w:drawing>
      </w:r>
    </w:p>
    <w:p>
      <w:pPr>
        <w:spacing w:after="200"/>
        <w:jc w:val="center"/>
      </w:pPr>
      <w:r>
        <w:rPr>
          <w:i/>
          <w:iCs/>
          <w:color w:val="666666"/>
          <w:sz w:val="19"/>
          <w:szCs w:val="19"/>
        </w:rPr>
        <w:t xml:space="preserve">그림 2. 유스케이스 다이어그램</w:t>
      </w:r>
    </w:p>
    <w:p>
      <w:pPr>
        <w:spacing w:after="160" w:line="320"/>
      </w:pPr>
      <w:r>
        <w:rPr>
          <w:color w:val="000000"/>
          <w:sz w:val="22"/>
          <w:szCs w:val="22"/>
        </w:rPr>
        <w:t xml:space="preserve">소유자는 여덟 개 유스케이스 전부와 관계를 맺고, 매장 직원은 마모 진단(공식 진단), 셀프케어·재구매 예약(케어 접수), 매장 AR 헤리티지 체험 세 곳에 관여한다. Concierge 헤리티지 스토리(구매 전)와 AR 제품 히스토리 조회(구매 중)는 이번 백엔드 MVP 범위 밖의 프런트엔드 전용 기능으로, 구매를 결정하면 제품 등록으로 자연스럽게 이어진다.</w:t>
      </w:r>
    </w:p>
    <w:p>
      <w:pPr>
        <w:pStyle w:val="Heading3"/>
        <w:spacing w:after="120" w:before="260"/>
      </w:pPr>
      <w:r>
        <w:rPr>
          <w:b/>
          <w:bCs/>
          <w:color w:val="000000"/>
          <w:sz w:val="23"/>
          <w:szCs w:val="23"/>
        </w:rPr>
        <w:t xml:space="preserve">시스템 아키텍처 다이어그램</w:t>
      </w:r>
    </w:p>
    <w:p>
      <w:pPr>
        <w:spacing w:after="60" w:before="100"/>
        <w:jc w:val="center"/>
      </w:pPr>
      <w:r>
        <w:drawing>
          <wp:inline distT="0" distB="0" distL="0" distR="0">
            <wp:extent cx="4381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05100"/>
                    </a:xfrm>
                    <a:prstGeom prst="rect">
                      <a:avLst/>
                    </a:prstGeom>
                  </pic:spPr>
                </pic:pic>
              </a:graphicData>
            </a:graphic>
          </wp:inline>
        </w:drawing>
      </w:r>
    </w:p>
    <w:p>
      <w:pPr>
        <w:spacing w:after="200"/>
        <w:jc w:val="center"/>
      </w:pPr>
      <w:r>
        <w:rPr>
          <w:i/>
          <w:iCs/>
          <w:color w:val="666666"/>
          <w:sz w:val="19"/>
          <w:szCs w:val="19"/>
        </w:rPr>
        <w:t xml:space="preserve">그림 3. 시스템 아키텍처 다이어그램</w:t>
      </w:r>
    </w:p>
    <w:p>
      <w:pPr>
        <w:spacing w:after="160" w:line="320"/>
      </w:pPr>
      <w:r>
        <w:rPr>
          <w:color w:val="000000"/>
          <w:sz w:val="22"/>
          <w:szCs w:val="22"/>
        </w:rPr>
        <w:t xml:space="preserve">모바일 앱은 REST API를 JWT 헤더 인증으로 호출한다. Spring Boot 모놀리스 내부에서 WearDiagnosisEngine(규칙기반·AI 교체 지점)과 Lifecycle Curator(알림 생성·스케줄러)가 핵심 로직을 담당하며, 각각 PostgreSQL(JSONB로 진단 점수 저장)과 Cloudinary(영수증·진단 사진 URL)에 접근한다.</w:t>
      </w:r>
    </w:p>
    <w:p>
      <w:pPr>
        <w:pStyle w:val="Heading3"/>
        <w:spacing w:after="120" w:before="260"/>
      </w:pPr>
      <w:r>
        <w:rPr>
          <w:b/>
          <w:bCs/>
          <w:color w:val="000000"/>
          <w:sz w:val="23"/>
          <w:szCs w:val="23"/>
        </w:rPr>
        <w:t xml:space="preserve">ERD</w:t>
      </w:r>
    </w:p>
    <w:p>
      <w:pPr>
        <w:spacing w:after="60" w:before="1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jc w:val="center"/>
      </w:pPr>
      <w:r>
        <w:rPr>
          <w:i/>
          <w:iCs/>
          <w:color w:val="666666"/>
          <w:sz w:val="19"/>
          <w:szCs w:val="19"/>
        </w:rPr>
        <w:t xml:space="preserve">그림 4. ERD</w:t>
      </w:r>
    </w:p>
    <w:p>
      <w:pPr>
        <w:spacing w:after="160" w:line="320"/>
      </w:pPr>
      <w:r>
        <w:rPr>
          <w:color w:val="000000"/>
          <w:sz w:val="22"/>
          <w:szCs w:val="22"/>
        </w:rPr>
        <w:t xml:space="preserve">Account가 여러 Passport를 소유(owns)하고, 하나의 Passport에 Diagnosis·Notification·CareRecord·TimelineEvent·OwnershipTransfer가 1:N으로 쌓인다. Diagnosis에는 진단 시각(diagnosedAt)·항목별 점수(scores)·이미지(imageUrls)·신뢰도(confidence)가 포함되어 "이전 진단 대비 변화량", "추이 보기"를 계산할 수 있다. Notification은 status(CREATED/READ/DISMISSED) 3단계와 판단 근거(reason), 발송 시각(createdAt)을 갖는다. OwnershipTransfer는 여권 승계 절차를 위한 신규 엔티티로, 승계 코드 발급부터 소유권 이전까지의 이력을 기록한다. TimelineEvent가 참조하는 STORE 엔티티를 추가해, 매장 방문 기록(storeId)이 실제로 어느 매장을 가리키는지 명확히 했다.</w:t>
      </w:r>
    </w:p>
    <w:p>
      <w:pPr>
        <w:pStyle w:val="Heading3"/>
        <w:spacing w:after="120" w:before="260"/>
      </w:pPr>
      <w:r>
        <w:rPr>
          <w:b/>
          <w:bCs/>
          <w:color w:val="000000"/>
          <w:sz w:val="23"/>
          <w:szCs w:val="23"/>
        </w:rPr>
        <w:t xml:space="preserve">클래스 다이어그램</w:t>
      </w:r>
    </w:p>
    <w:p>
      <w:pPr>
        <w:spacing w:after="60" w:before="100"/>
        <w:jc w:val="center"/>
      </w:pPr>
      <w:r>
        <w:drawing>
          <wp:inline distT="0" distB="0" distL="0" distR="0">
            <wp:extent cx="4572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543300"/>
                    </a:xfrm>
                    <a:prstGeom prst="rect">
                      <a:avLst/>
                    </a:prstGeom>
                  </pic:spPr>
                </pic:pic>
              </a:graphicData>
            </a:graphic>
          </wp:inline>
        </w:drawing>
      </w:r>
    </w:p>
    <w:p>
      <w:pPr>
        <w:spacing w:after="200"/>
        <w:jc w:val="center"/>
      </w:pPr>
      <w:r>
        <w:rPr>
          <w:i/>
          <w:iCs/>
          <w:color w:val="666666"/>
          <w:sz w:val="19"/>
          <w:szCs w:val="19"/>
        </w:rPr>
        <w:t xml:space="preserve">그림 5. 클래스 다이어그램</w:t>
      </w:r>
    </w:p>
    <w:p>
      <w:pPr>
        <w:spacing w:after="160" w:line="320"/>
      </w:pPr>
      <w:r>
        <w:rPr>
          <w:color w:val="000000"/>
          <w:sz w:val="22"/>
          <w:szCs w:val="22"/>
        </w:rPr>
        <w:t xml:space="preserve">DiagnosisService가 WearDiagnosisEngine 인터페이스를 사용해 진단을 생성하고, WearDiagnosisEngine은 DiagnosisResult를 만들어 반환한다. LifecycleCurator는 Diagnosis를 읽어 Notification을 생성한다. Passport 아래 CareRecord·TimelineEvent·OwnershipTransfer까지 ERD와 동일한 범위로 포함시켜, 두 다이어그램이 같은 도메인을 다른 관점(데이터 구조 vs 책임 분리)에서 보여주도록 정리했다. AI 팀원의 결과물을 API 변경 없이 끼워 넣을 수 있도록 진단 로직 전체를 인터페이스 뒤에 숨긴 구조는 그대로 유지된다.</w:t>
      </w:r>
    </w:p>
    <w:p>
      <w:pPr>
        <w:pStyle w:val="Heading3"/>
        <w:spacing w:after="120" w:before="260"/>
      </w:pPr>
      <w:r>
        <w:rPr>
          <w:b/>
          <w:bCs/>
          <w:color w:val="000000"/>
          <w:sz w:val="23"/>
          <w:szCs w:val="23"/>
        </w:rPr>
        <w:t xml:space="preserve">상태 다이어그램</w:t>
      </w:r>
    </w:p>
    <w:p>
      <w:pPr>
        <w:spacing w:after="60" w:before="100"/>
        <w:jc w:val="center"/>
      </w:pPr>
      <w:r>
        <w:drawing>
          <wp:inline distT="0" distB="0" distL="0" distR="0">
            <wp:extent cx="2476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3238500"/>
                    </a:xfrm>
                    <a:prstGeom prst="rect">
                      <a:avLst/>
                    </a:prstGeom>
                  </pic:spPr>
                </pic:pic>
              </a:graphicData>
            </a:graphic>
          </wp:inline>
        </w:drawing>
      </w:r>
    </w:p>
    <w:p>
      <w:pPr>
        <w:spacing w:after="200"/>
        <w:jc w:val="center"/>
      </w:pPr>
      <w:r>
        <w:rPr>
          <w:i/>
          <w:iCs/>
          <w:color w:val="666666"/>
          <w:sz w:val="19"/>
          <w:szCs w:val="19"/>
        </w:rPr>
        <w:t xml:space="preserve">그림 6. Passport 상태 다이어그램</w:t>
      </w:r>
    </w:p>
    <w:p>
      <w:pPr>
        <w:spacing w:after="160" w:line="320"/>
      </w:pPr>
      <w:r>
        <w:rPr>
          <w:color w:val="000000"/>
          <w:sz w:val="22"/>
          <w:szCs w:val="22"/>
        </w:rPr>
        <w:t xml:space="preserve">여권 등록과 동시에 ACTIVE 상태가 되고, 소유자 삭제 요청 시 DELETED로 전환되며 이 전이는 되돌릴 수 없다. 동일 시리얼로 재등록하면 이전 이력과 연결되지 않는 새로운 Passport로 취급되어, 이 다이어그램의 시작점(ACTIVE)부터 다시 출발한다.</w:t>
      </w:r>
    </w:p>
    <w:p>
      <w:pPr>
        <w:pStyle w:val="Heading3"/>
        <w:spacing w:after="120" w:before="260"/>
      </w:pPr>
      <w:r>
        <w:rPr>
          <w:b/>
          <w:bCs/>
          <w:color w:val="000000"/>
          <w:sz w:val="23"/>
          <w:szCs w:val="23"/>
        </w:rPr>
        <w:t xml:space="preserve">시퀀스 다이어그램</w:t>
      </w:r>
    </w:p>
    <w:p>
      <w:pPr>
        <w:spacing w:after="60" w:before="100"/>
        <w:jc w:val="center"/>
      </w:pPr>
      <w:r>
        <w:drawing>
          <wp:inline distT="0" distB="0" distL="0" distR="0">
            <wp:extent cx="4381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324225"/>
                    </a:xfrm>
                    <a:prstGeom prst="rect">
                      <a:avLst/>
                    </a:prstGeom>
                  </pic:spPr>
                </pic:pic>
              </a:graphicData>
            </a:graphic>
          </wp:inline>
        </w:drawing>
      </w:r>
    </w:p>
    <w:p>
      <w:pPr>
        <w:spacing w:after="200"/>
        <w:jc w:val="center"/>
      </w:pPr>
      <w:r>
        <w:rPr>
          <w:i/>
          <w:iCs/>
          <w:color w:val="666666"/>
          <w:sz w:val="19"/>
          <w:szCs w:val="19"/>
        </w:rPr>
        <w:t xml:space="preserve">그림 7. 시퀀스 다이어그램 — 등록 → 진단 → 알림 → 타임라인</w:t>
      </w:r>
    </w:p>
    <w:p>
      <w:pPr>
        <w:spacing w:after="160" w:line="320"/>
      </w:pPr>
      <w:r>
        <w:rPr>
          <w:color w:val="000000"/>
          <w:sz w:val="22"/>
          <w:szCs w:val="22"/>
        </w:rPr>
        <w:t xml:space="preserve">소유자가 진단 사진을 업로드하면 모바일 앱이 POST diagnoses를 호출하고, Spring Boot API는 이 요청을 DiagnosisService에 위임한다. DiagnosisService가 사진을 Cloudinary에 업로드해 이미지 URL을 받고 PostgreSQL에서 이전 진단을 조회한 뒤, 이 두 데이터를 WearDiagnosisEngine에 넘겨 항목별 점수·등급을 받는다. Diagnosis 저장 후에는 LifecycleCurator에 알림 평가를 요청해 Notification이 생성된다. 클래스 다이어그램의 서비스 레이어(DiagnosisService, LifecycleCurator)가 시퀀스에도 동일하게 드러나도록 맞췄다. 이후 소유자가 타임라인을 조회하면 GET timeline이 진단·케어·알림·이벤트를 통합 조회해 하나의 화면으로 응답한다.</w:t>
      </w:r>
    </w:p>
    <w:p>
      <w:pPr>
        <w:pStyle w:val="Heading2"/>
        <w:spacing w:after="160" w:before="380"/>
      </w:pPr>
      <w:r>
        <w:rPr>
          <w:b/>
          <w:bCs/>
          <w:color w:val="000000"/>
          <w:sz w:val="27"/>
          <w:szCs w:val="27"/>
        </w:rPr>
        <w:t xml:space="preserve">7. 데모 범위</w:t>
      </w:r>
    </w:p>
    <w:p>
      <w:pPr>
        <w:spacing w:after="160" w:line="320"/>
      </w:pPr>
      <w:r>
        <w:rPr>
          <w:color w:val="000000"/>
          <w:sz w:val="22"/>
          <w:szCs w:val="22"/>
        </w:rPr>
        <w:t xml:space="preserve">위 9단계 전체가 최종적으로 지향하는 그림이지만, 해커톤 기간 안에 전부를 구현하지는 않는다. 심사위원이 "어디까지 실제로 되는가"를 판단할 수 있도록 실동작 / 목업·영상 / 로드맵 세 단계로 나눈다.</w:t>
      </w:r>
    </w:p>
    <w:p>
      <w:pPr>
        <w:spacing w:after="160" w:line="320"/>
      </w:pPr>
      <w:r>
        <w:rPr>
          <w:color w:val="000000"/>
          <w:sz w:val="22"/>
          <w:szCs w:val="22"/>
        </w:rPr>
        <w:t xml:space="preserve">그림 1·그림 2·4장에서는 여권 승계를 360° 여정과 유스케이스의 핵심 축으로 다루지만, 이는 "서비스가 지향하는 완성된 그림"을 보여주는 것이지 이번 해커톤 데모에 실제로 포함된다는 뜻은 아니다. 데모 포함 여부는 아래 표 2번째 행처럼 별도 확인이 필요하다.</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400"/>
        <w:gridCol w:w="3400"/>
        <w:gridCol w:w="3600"/>
      </w:tblGrid>
      <w:tr>
        <w:trPr>
          <w:tblHeader/>
        </w:trPr>
        <w:tc>
          <w:tcPr>
            <w:tcW w:type="dxa" w:w="1400"/>
            <w:shd w:fill="EAEAEA" w:color="auto" w:val="clear"/>
            <w:tcMar>
              <w:top w:type="dxa" w:w="100"/>
              <w:left w:type="dxa" w:w="120"/>
              <w:bottom w:type="dxa" w:w="100"/>
              <w:right w:type="dxa" w:w="120"/>
            </w:tcMar>
          </w:tcPr>
          <w:p>
            <w:r>
              <w:rPr>
                <w:b/>
                <w:bCs/>
                <w:color w:val="000000"/>
                <w:sz w:val="20"/>
                <w:szCs w:val="20"/>
              </w:rPr>
              <w:t xml:space="preserve">구분</w:t>
            </w:r>
          </w:p>
        </w:tc>
        <w:tc>
          <w:tcPr>
            <w:tcW w:type="dxa" w:w="3400"/>
            <w:shd w:fill="EAEAEA" w:color="auto" w:val="clear"/>
            <w:tcMar>
              <w:top w:type="dxa" w:w="100"/>
              <w:left w:type="dxa" w:w="120"/>
              <w:bottom w:type="dxa" w:w="100"/>
              <w:right w:type="dxa" w:w="120"/>
            </w:tcMar>
          </w:tcPr>
          <w:p>
            <w:r>
              <w:rPr>
                <w:b/>
                <w:bCs/>
                <w:color w:val="000000"/>
                <w:sz w:val="20"/>
                <w:szCs w:val="20"/>
              </w:rPr>
              <w:t xml:space="preserve">항목</w:t>
            </w:r>
          </w:p>
        </w:tc>
        <w:tc>
          <w:tcPr>
            <w:tcW w:type="dxa" w:w="3600"/>
            <w:shd w:fill="EAEAEA" w:color="auto" w:val="clear"/>
            <w:tcMar>
              <w:top w:type="dxa" w:w="100"/>
              <w:left w:type="dxa" w:w="120"/>
              <w:bottom w:type="dxa" w:w="100"/>
              <w:right w:type="dxa" w:w="120"/>
            </w:tcMar>
          </w:tcPr>
          <w:p>
            <w:r>
              <w:rPr>
                <w:b/>
                <w:bCs/>
                <w:color w:val="000000"/>
                <w:sz w:val="20"/>
                <w:szCs w:val="20"/>
              </w:rPr>
              <w:t xml:space="preserve">이유</w:t>
            </w:r>
          </w:p>
        </w:tc>
      </w:tr>
      <w:tr>
        <w:tc>
          <w:tcPr>
            <w:tcW w:type="dxa" w:w="1400"/>
            <w:tcMar>
              <w:top w:type="dxa" w:w="90"/>
              <w:left w:type="dxa" w:w="120"/>
              <w:bottom w:type="dxa" w:w="90"/>
              <w:right w:type="dxa" w:w="120"/>
            </w:tcMar>
          </w:tcPr>
          <w:p>
            <w:pPr>
              <w:spacing w:line="280"/>
            </w:pPr>
            <w:r>
              <w:rPr>
                <w:color w:val="000000"/>
                <w:sz w:val="20"/>
                <w:szCs w:val="20"/>
              </w:rPr>
              <w:t xml:space="preserve">실동작</w:t>
            </w:r>
          </w:p>
        </w:tc>
        <w:tc>
          <w:tcPr>
            <w:tcW w:type="dxa" w:w="3400"/>
            <w:tcMar>
              <w:top w:type="dxa" w:w="90"/>
              <w:left w:type="dxa" w:w="120"/>
              <w:bottom w:type="dxa" w:w="90"/>
              <w:right w:type="dxa" w:w="120"/>
            </w:tcMar>
          </w:tcPr>
          <w:p>
            <w:pPr>
              <w:spacing w:line="280"/>
            </w:pPr>
            <w:r>
              <w:rPr>
                <w:color w:val="000000"/>
                <w:sz w:val="20"/>
                <w:szCs w:val="20"/>
              </w:rPr>
              <w:t xml:space="preserve">제품 등록, 마모 진단(Verified Patina), 타이밍 알림(Lifecycle Curator), 여권 타임라인, 행동 연결</w:t>
            </w:r>
          </w:p>
        </w:tc>
        <w:tc>
          <w:tcPr>
            <w:tcW w:type="dxa" w:w="3600"/>
            <w:tcMar>
              <w:top w:type="dxa" w:w="90"/>
              <w:left w:type="dxa" w:w="120"/>
              <w:bottom w:type="dxa" w:w="90"/>
              <w:right w:type="dxa" w:w="120"/>
            </w:tcMar>
          </w:tcPr>
          <w:p>
            <w:pPr>
              <w:spacing w:line="280"/>
            </w:pPr>
            <w:r>
              <w:rPr>
                <w:color w:val="000000"/>
                <w:sz w:val="20"/>
                <w:szCs w:val="20"/>
              </w:rPr>
              <w:t xml:space="preserve">문제 정의를 증명하는 핵심 흐름이자 실제 수익 지점. 규칙 기반 로직으로 해커톤 기간 안에 시연 가능</w:t>
            </w:r>
          </w:p>
        </w:tc>
      </w:tr>
      <w:tr>
        <w:tc>
          <w:tcPr>
            <w:tcW w:type="dxa" w:w="1400"/>
            <w:tcMar>
              <w:top w:type="dxa" w:w="90"/>
              <w:left w:type="dxa" w:w="120"/>
              <w:bottom w:type="dxa" w:w="90"/>
              <w:right w:type="dxa" w:w="120"/>
            </w:tcMar>
          </w:tcPr>
          <w:p>
            <w:pPr>
              <w:spacing w:line="280"/>
            </w:pPr>
            <w:r>
              <w:rPr>
                <w:color w:val="000000"/>
                <w:sz w:val="20"/>
                <w:szCs w:val="20"/>
              </w:rPr>
              <w:t xml:space="preserve">실동작(확인 필요)</w:t>
            </w:r>
          </w:p>
        </w:tc>
        <w:tc>
          <w:tcPr>
            <w:tcW w:type="dxa" w:w="3400"/>
            <w:tcMar>
              <w:top w:type="dxa" w:w="90"/>
              <w:left w:type="dxa" w:w="120"/>
              <w:bottom w:type="dxa" w:w="90"/>
              <w:right w:type="dxa" w:w="120"/>
            </w:tcMar>
          </w:tcPr>
          <w:p>
            <w:pPr>
              <w:spacing w:line="280"/>
            </w:pPr>
            <w:r>
              <w:rPr>
                <w:color w:val="000000"/>
                <w:sz w:val="20"/>
                <w:szCs w:val="20"/>
              </w:rPr>
              <w:t xml:space="preserve">여권 승계(소유권 이전)</w:t>
            </w:r>
          </w:p>
        </w:tc>
        <w:tc>
          <w:tcPr>
            <w:tcW w:type="dxa" w:w="3600"/>
            <w:tcMar>
              <w:top w:type="dxa" w:w="90"/>
              <w:left w:type="dxa" w:w="120"/>
              <w:bottom w:type="dxa" w:w="90"/>
              <w:right w:type="dxa" w:w="120"/>
            </w:tcMar>
          </w:tcPr>
          <w:p>
            <w:pPr>
              <w:spacing w:line="280"/>
            </w:pPr>
            <w:r>
              <w:rPr>
                <w:color w:val="000000"/>
                <w:sz w:val="20"/>
                <w:szCs w:val="20"/>
              </w:rPr>
              <w:t xml:space="preserve">purchaseYear·삭제 정책은 확정됐으나, 이번 데모 범위 포함 여부는 팀 확정 필요</w:t>
            </w:r>
          </w:p>
        </w:tc>
      </w:tr>
      <w:tr>
        <w:tc>
          <w:tcPr>
            <w:tcW w:type="dxa" w:w="1400"/>
            <w:tcMar>
              <w:top w:type="dxa" w:w="90"/>
              <w:left w:type="dxa" w:w="120"/>
              <w:bottom w:type="dxa" w:w="90"/>
              <w:right w:type="dxa" w:w="120"/>
            </w:tcMar>
          </w:tcPr>
          <w:p>
            <w:pPr>
              <w:spacing w:line="280"/>
            </w:pPr>
            <w:r>
              <w:rPr>
                <w:color w:val="000000"/>
                <w:sz w:val="20"/>
                <w:szCs w:val="20"/>
              </w:rPr>
              <w:t xml:space="preserve">목업·영상</w:t>
            </w:r>
          </w:p>
        </w:tc>
        <w:tc>
          <w:tcPr>
            <w:tcW w:type="dxa" w:w="3400"/>
            <w:tcMar>
              <w:top w:type="dxa" w:w="90"/>
              <w:left w:type="dxa" w:w="120"/>
              <w:bottom w:type="dxa" w:w="90"/>
              <w:right w:type="dxa" w:w="120"/>
            </w:tcMar>
          </w:tcPr>
          <w:p>
            <w:pPr>
              <w:spacing w:line="280"/>
            </w:pPr>
            <w:r>
              <w:rPr>
                <w:color w:val="000000"/>
                <w:sz w:val="20"/>
                <w:szCs w:val="20"/>
              </w:rPr>
              <w:t xml:space="preserve">매장 AR 헤리티지 경험, 구매 전·중 추천(Concierge)</w:t>
            </w:r>
          </w:p>
        </w:tc>
        <w:tc>
          <w:tcPr>
            <w:tcW w:type="dxa" w:w="3600"/>
            <w:tcMar>
              <w:top w:type="dxa" w:w="90"/>
              <w:left w:type="dxa" w:w="120"/>
              <w:bottom w:type="dxa" w:w="90"/>
              <w:right w:type="dxa" w:w="120"/>
            </w:tcMar>
          </w:tcPr>
          <w:p>
            <w:pPr>
              <w:spacing w:line="280"/>
            </w:pPr>
            <w:r>
              <w:rPr>
                <w:color w:val="000000"/>
                <w:sz w:val="20"/>
                <w:szCs w:val="20"/>
              </w:rPr>
              <w:t xml:space="preserve">프로토타입 구현은 확인됐으나 백엔드 MVP 범위 밖. 실동작/목업 여부는 프런트 구현 방식 확정 후 결정</w:t>
            </w:r>
          </w:p>
        </w:tc>
      </w:tr>
      <w:tr>
        <w:tc>
          <w:tcPr>
            <w:tcW w:type="dxa" w:w="1400"/>
            <w:tcMar>
              <w:top w:type="dxa" w:w="90"/>
              <w:left w:type="dxa" w:w="120"/>
              <w:bottom w:type="dxa" w:w="90"/>
              <w:right w:type="dxa" w:w="120"/>
            </w:tcMar>
          </w:tcPr>
          <w:p>
            <w:pPr>
              <w:spacing w:line="280"/>
            </w:pPr>
            <w:r>
              <w:rPr>
                <w:color w:val="000000"/>
                <w:sz w:val="20"/>
                <w:szCs w:val="20"/>
              </w:rPr>
              <w:t xml:space="preserve">로드맵</w:t>
            </w:r>
          </w:p>
        </w:tc>
        <w:tc>
          <w:tcPr>
            <w:tcW w:type="dxa" w:w="3400"/>
            <w:tcMar>
              <w:top w:type="dxa" w:w="90"/>
              <w:left w:type="dxa" w:w="120"/>
              <w:bottom w:type="dxa" w:w="90"/>
              <w:right w:type="dxa" w:w="120"/>
            </w:tcMar>
          </w:tcPr>
          <w:p>
            <w:pPr>
              <w:spacing w:line="280"/>
            </w:pPr>
            <w:r>
              <w:rPr>
                <w:color w:val="000000"/>
                <w:sz w:val="20"/>
                <w:szCs w:val="20"/>
              </w:rPr>
              <w:t xml:space="preserve">정품·리세일 공식 인증서 발급</w:t>
            </w:r>
          </w:p>
        </w:tc>
        <w:tc>
          <w:tcPr>
            <w:tcW w:type="dxa" w:w="3600"/>
            <w:tcMar>
              <w:top w:type="dxa" w:w="90"/>
              <w:left w:type="dxa" w:w="120"/>
              <w:bottom w:type="dxa" w:w="90"/>
              <w:right w:type="dxa" w:w="120"/>
            </w:tcMar>
          </w:tcPr>
          <w:p>
            <w:pPr>
              <w:spacing w:line="280"/>
            </w:pPr>
            <w:r>
              <w:rPr>
                <w:color w:val="000000"/>
                <w:sz w:val="20"/>
                <w:szCs w:val="20"/>
              </w:rPr>
              <w:t xml:space="preserve">브랜드 운영·법무·데이터 연계가 필요해 해커톤 범위를 벗어난다</w:t>
            </w:r>
          </w:p>
        </w:tc>
      </w:tr>
      <w:tr>
        <w:tc>
          <w:tcPr>
            <w:tcW w:type="dxa" w:w="1400"/>
            <w:tcMar>
              <w:top w:type="dxa" w:w="90"/>
              <w:left w:type="dxa" w:w="120"/>
              <w:bottom w:type="dxa" w:w="90"/>
              <w:right w:type="dxa" w:w="120"/>
            </w:tcMar>
          </w:tcPr>
          <w:p>
            <w:pPr>
              <w:spacing w:line="280"/>
            </w:pPr>
            <w:r>
              <w:rPr>
                <w:color w:val="000000"/>
                <w:sz w:val="20"/>
                <w:szCs w:val="20"/>
              </w:rPr>
              <w:t xml:space="preserve">로드맵</w:t>
            </w:r>
          </w:p>
        </w:tc>
        <w:tc>
          <w:tcPr>
            <w:tcW w:type="dxa" w:w="3400"/>
            <w:tcMar>
              <w:top w:type="dxa" w:w="90"/>
              <w:left w:type="dxa" w:w="120"/>
              <w:bottom w:type="dxa" w:w="90"/>
              <w:right w:type="dxa" w:w="120"/>
            </w:tcMar>
          </w:tcPr>
          <w:p>
            <w:pPr>
              <w:spacing w:line="280"/>
            </w:pPr>
            <w:r>
              <w:rPr>
                <w:color w:val="000000"/>
                <w:sz w:val="20"/>
                <w:szCs w:val="20"/>
              </w:rPr>
              <w:t xml:space="preserve">연말 리캡, 게이미피케이션 요소</w:t>
            </w:r>
          </w:p>
        </w:tc>
        <w:tc>
          <w:tcPr>
            <w:tcW w:type="dxa" w:w="3600"/>
            <w:tcMar>
              <w:top w:type="dxa" w:w="90"/>
              <w:left w:type="dxa" w:w="120"/>
              <w:bottom w:type="dxa" w:w="90"/>
              <w:right w:type="dxa" w:w="120"/>
            </w:tcMar>
          </w:tcPr>
          <w:p>
            <w:pPr>
              <w:spacing w:line="280"/>
            </w:pPr>
            <w:r>
              <w:rPr>
                <w:color w:val="000000"/>
                <w:sz w:val="20"/>
                <w:szCs w:val="20"/>
              </w:rPr>
              <w:t xml:space="preserve">데이터가 어느 정도 누적된 이후에야 의미가 생기는 기능</w:t>
            </w:r>
          </w:p>
        </w:tc>
      </w:tr>
    </w:tbl>
    <w:p>
      <w:pPr>
        <w:spacing w:after="120"/>
      </w:pPr>
    </w:p>
    <w:p>
      <w:pPr>
        <w:spacing w:after="160" w:line="320"/>
      </w:pPr>
      <w:r>
        <w:rPr>
          <w:color w:val="000000"/>
          <w:sz w:val="22"/>
          <w:szCs w:val="22"/>
        </w:rPr>
        <w:t xml:space="preserve">AI 진단 결과에는 신뢰도와 함께 자가 진단/매장 공식 진단 여부를 구분해서 표시한다. 시리얼 중복 등록·OCR 인식 실패 시 수동 입력·개인정보 보관 정책도 데모 수준에서 함께 보여준다. 개인정보 보관 정책의 핵심은 다음과 같다: 여권을 삭제(DELETED)하면 진단 사진·영수증 등 Cloudinary에 저장된 이미지도 함께 삭제 처리하며, 승계 시 이전 소유자의 계정 식별 정보는 새 소유자에게 노출되지 않는다.</w:t>
      </w:r>
    </w:p>
    <w:p>
      <w:pPr>
        <w:pStyle w:val="Heading2"/>
        <w:spacing w:after="160" w:before="380"/>
      </w:pPr>
      <w:r>
        <w:rPr>
          <w:b/>
          <w:bCs/>
          <w:color w:val="000000"/>
          <w:sz w:val="27"/>
          <w:szCs w:val="27"/>
        </w:rPr>
        <w:t xml:space="preserve">8. 브랜드 톤</w:t>
      </w:r>
    </w:p>
    <w:p>
      <w:pPr>
        <w:spacing w:after="160" w:line="320"/>
      </w:pPr>
      <w:r>
        <w:rPr>
          <w:color w:val="000000"/>
          <w:sz w:val="22"/>
          <w:szCs w:val="22"/>
        </w:rPr>
        <w:t xml:space="preserve">Nomad Passport라는 이름은 MCM의 이동성, 여행, 도시적 헤리티지를 자연스럽게 확장한다. 제품에 남는 흔적을 결함이 아니라 Patina와 Journey로 해석해, 오래 소유하는 럭셔리 경험을 강화하는 방향으로 설계했다.</w:t>
      </w:r>
    </w:p>
    <w:p>
      <w:pPr>
        <w:pStyle w:val="ListParagraph"/>
        <w:numPr>
          <w:ilvl w:val="0"/>
          <w:numId w:val="2"/>
        </w:numPr>
        <w:spacing w:after="100" w:line="300"/>
      </w:pPr>
      <w:r>
        <w:rPr>
          <w:color w:val="000000"/>
          <w:sz w:val="22"/>
          <w:szCs w:val="22"/>
        </w:rPr>
        <w:t xml:space="preserve">포인트, 출석, 랭킹 같은 게임형 언어 대신 Journey, Archive, Stamp, Care 같은 언어를 사용한다</w:t>
      </w:r>
    </w:p>
    <w:p>
      <w:pPr>
        <w:pStyle w:val="ListParagraph"/>
        <w:numPr>
          <w:ilvl w:val="0"/>
          <w:numId w:val="2"/>
        </w:numPr>
        <w:spacing w:after="100" w:line="300"/>
      </w:pPr>
      <w:r>
        <w:rPr>
          <w:color w:val="000000"/>
          <w:sz w:val="22"/>
          <w:szCs w:val="22"/>
        </w:rPr>
        <w:t xml:space="preserve">재구매 알림은 할인 압박이 아니라 컬렉션 큐레이션과 교체 필요성의 근거 중심으로 표현한다</w:t>
      </w:r>
    </w:p>
    <w:p>
      <w:pPr>
        <w:pStyle w:val="ListParagraph"/>
        <w:numPr>
          <w:ilvl w:val="0"/>
          <w:numId w:val="2"/>
        </w:numPr>
        <w:spacing w:after="100" w:line="300"/>
      </w:pPr>
      <w:r>
        <w:rPr>
          <w:color w:val="000000"/>
          <w:sz w:val="22"/>
          <w:szCs w:val="22"/>
        </w:rPr>
        <w:t xml:space="preserve">AI는 서비스의 주인공이 아니라, 장인정신과 케어를 돕는 조용한 조력자로 자리하게 한다</w:t>
      </w:r>
    </w:p>
    <w:p>
      <w:pPr>
        <w:pStyle w:val="Heading2"/>
        <w:spacing w:after="160" w:before="380"/>
      </w:pPr>
      <w:r>
        <w:rPr>
          <w:b/>
          <w:bCs/>
          <w:color w:val="000000"/>
          <w:sz w:val="27"/>
          <w:szCs w:val="27"/>
        </w:rPr>
        <w:t xml:space="preserve">9. 비즈니스 모델과 시장성</w:t>
      </w:r>
    </w:p>
    <w:p>
      <w:pPr>
        <w:pStyle w:val="Heading3"/>
        <w:spacing w:after="120" w:before="260"/>
      </w:pPr>
      <w:r>
        <w:rPr>
          <w:b/>
          <w:bCs/>
          <w:color w:val="000000"/>
          <w:sz w:val="23"/>
          <w:szCs w:val="23"/>
        </w:rPr>
        <w:t xml:space="preserve">시장 규모</w:t>
      </w:r>
    </w:p>
    <w:p>
      <w:pPr>
        <w:spacing w:after="160" w:line="320"/>
      </w:pPr>
      <w:r>
        <w:rPr>
          <w:color w:val="000000"/>
          <w:sz w:val="22"/>
          <w:szCs w:val="22"/>
        </w:rPr>
        <w:t xml:space="preserve">앞서 배경에서 살펴본 것처럼, 글로벌 럭셔리 리세일 시장은 2026년 약 416억 달러 규모이며 2030년까지 500~600억 달러대로 성장할 전망이다</w:t>
      </w:r>
      <w:bookmarkStart w:name="ref1b" w:id="1"/>
      <w:r>
        <w:rPr>
          <w:sz w:val="2"/>
          <w:szCs w:val="2"/>
        </w:rPr>
        <w:t xml:space="preserve"/>
      </w:r>
      <w:bookmarkEnd w:id="1"/>
      <w:hyperlink w:history="1" w:anchor="fn1">
        <w:r>
          <w:rPr>
            <w:b/>
            <w:bCs/>
            <w:color w:val="000000"/>
            <w:sz w:val="18"/>
            <w:szCs w:val="18"/>
            <w:u w:val="single"/>
            <w:vertAlign w:val="superscript"/>
          </w:rPr>
          <w:t xml:space="preserve">[1]</w:t>
        </w:r>
      </w:hyperlink>
      <w:r>
        <w:rPr>
          <w:color w:val="000000"/>
          <w:sz w:val="22"/>
          <w:szCs w:val="22"/>
        </w:rPr>
        <w:t xml:space="preserve">. 이 서비스의 대상은 리세일 시장 참여자에 국한되지 않고, 여행 여부와 관계없이 MCM 제품을 소유한 전체 고객이다. 단순 시장 규모보다, 이 서비스를 통해 고객 한 명 한 명의 생애가치(LTV)가 얼마나 늘어나는지가 더 중요한 지표다.</w:t>
      </w:r>
    </w:p>
    <w:p>
      <w:pPr>
        <w:pStyle w:val="Heading3"/>
        <w:spacing w:after="120" w:before="260"/>
      </w:pPr>
      <w:r>
        <w:rPr>
          <w:b/>
          <w:bCs/>
          <w:color w:val="000000"/>
          <w:sz w:val="23"/>
          <w:szCs w:val="23"/>
        </w:rPr>
        <w:t xml:space="preserve">수익 모델</w:t>
      </w:r>
    </w:p>
    <w:p>
      <w:pPr>
        <w:pStyle w:val="ListParagraph"/>
        <w:numPr>
          <w:ilvl w:val="0"/>
          <w:numId w:val="2"/>
        </w:numPr>
        <w:spacing w:after="100" w:line="300"/>
      </w:pPr>
      <w:r>
        <w:rPr>
          <w:color w:val="000000"/>
          <w:sz w:val="22"/>
          <w:szCs w:val="22"/>
        </w:rPr>
        <w:t xml:space="preserve">케어·수선 예약 전환: 진단 결과가 공식 서비스 예약으로 이어질 때 발생하는 연계 수익</w:t>
      </w:r>
    </w:p>
    <w:p>
      <w:pPr>
        <w:pStyle w:val="ListParagraph"/>
        <w:numPr>
          <w:ilvl w:val="0"/>
          <w:numId w:val="2"/>
        </w:numPr>
        <w:spacing w:after="100" w:line="300"/>
      </w:pPr>
      <w:r>
        <w:rPr>
          <w:color w:val="000000"/>
          <w:sz w:val="22"/>
          <w:szCs w:val="22"/>
        </w:rPr>
        <w:t xml:space="preserve">재구매 전환: 재구매 큐레이션을 통해 발생한 구매에 대한 기여</w:t>
      </w:r>
    </w:p>
    <w:p>
      <w:pPr>
        <w:pStyle w:val="ListParagraph"/>
        <w:numPr>
          <w:ilvl w:val="0"/>
          <w:numId w:val="2"/>
        </w:numPr>
        <w:spacing w:after="100" w:line="300"/>
      </w:pPr>
      <w:r>
        <w:rPr>
          <w:color w:val="000000"/>
          <w:sz w:val="22"/>
          <w:szCs w:val="22"/>
        </w:rPr>
        <w:t xml:space="preserve">공식 리세일 채널 연계: 향후 공식 리커머스 채널과 연동할 경우의 중개 수익</w:t>
      </w:r>
    </w:p>
    <w:p>
      <w:pPr>
        <w:spacing w:after="80"/>
      </w:pPr>
    </w:p>
    <w:p>
      <w:pPr>
        <w:spacing w:after="160" w:line="320"/>
      </w:pPr>
      <w:r>
        <w:rPr>
          <w:color w:val="000000"/>
          <w:sz w:val="22"/>
          <w:szCs w:val="22"/>
        </w:rPr>
        <w:t xml:space="preserve">예를 들어 </w:t>
      </w:r>
      <w:r>
        <w:rPr>
          <w:color w:val="000000"/>
          <w:sz w:val="22"/>
          <w:szCs w:val="22"/>
        </w:rPr>
        <w:t xml:space="preserve">여권 1만 건이 등록되고 그중 15%가 케어 예약으로 전환되며 평균 객단가가 5만 원이라고 가정하면, 연간 약 7,500만 원의 케어 매출로 이어지는 구조다. 실제 전환율과 객단가는 파일럿을 거쳐야 확인할 수 있는 가정치다.</w:t>
      </w:r>
    </w:p>
    <w:p>
      <w:pPr>
        <w:pStyle w:val="Heading3"/>
        <w:spacing w:after="120" w:before="260"/>
      </w:pPr>
      <w:r>
        <w:rPr>
          <w:b/>
          <w:bCs/>
          <w:color w:val="000000"/>
          <w:sz w:val="23"/>
          <w:szCs w:val="23"/>
        </w:rPr>
        <w:t xml:space="preserve">고객 혜택 — 인증서 발급</w:t>
      </w:r>
    </w:p>
    <w:p>
      <w:pPr>
        <w:spacing w:after="160" w:line="320"/>
      </w:pPr>
      <w:r>
        <w:rPr>
          <w:color w:val="000000"/>
          <w:sz w:val="22"/>
          <w:szCs w:val="22"/>
        </w:rPr>
        <w:t xml:space="preserve">리세일 시 관리 이력 증명서는 관리 이력이 충분히 쌓인 고객에게 무료로 제공할 계획이다(7장 기준 현재는 로드맵 단계). 아직 아무도 써본 적 없는 기능에 바로 요금을 매기기보다, 신뢰를 먼저 쌓아 케어 예약·재구매로 이어지게 하는 쪽이 우선이라고 판단했다. 수익 항목이 아니라 고객 유지 장치로 분류하며, 유료화는 이용률이 쌓인 다음 별도로 검토한다.</w:t>
      </w:r>
    </w:p>
    <w:p>
      <w:pPr>
        <w:pStyle w:val="Heading3"/>
        <w:spacing w:after="120" w:before="260"/>
      </w:pPr>
      <w:r>
        <w:rPr>
          <w:b/>
          <w:bCs/>
          <w:color w:val="000000"/>
          <w:sz w:val="23"/>
          <w:szCs w:val="23"/>
        </w:rPr>
        <w:t xml:space="preserve">확장 가능성</w:t>
      </w:r>
    </w:p>
    <w:p>
      <w:pPr>
        <w:spacing w:after="160" w:line="320"/>
      </w:pPr>
      <w:r>
        <w:rPr>
          <w:color w:val="000000"/>
          <w:sz w:val="22"/>
          <w:szCs w:val="22"/>
        </w:rPr>
        <w:t xml:space="preserve">1차로는 시리얼 확인이 쉬운 헤리티지 컬렉션과 기존 멤버십 고객으로 시작하지만, 검증만 되면 MCM 전체 제품 라인업으로 자연스럽게 확장할 수 있는 구조다. 여권이라는 데이터 자산이 쌓일수록, 이후 다른 카테고리(의류, 액세서리 등)로도 같은 방식이 적용될 수 있다.</w:t>
      </w:r>
    </w:p>
    <w:p>
      <w:pPr>
        <w:pStyle w:val="Heading3"/>
        <w:spacing w:after="120" w:before="260"/>
      </w:pPr>
      <w:r>
        <w:rPr>
          <w:b/>
          <w:bCs/>
          <w:color w:val="000000"/>
          <w:sz w:val="23"/>
          <w:szCs w:val="23"/>
        </w:rPr>
        <w:t xml:space="preserve">브랜드 차원의 비용 절감</w:t>
      </w:r>
    </w:p>
    <w:p>
      <w:pPr>
        <w:pStyle w:val="ListParagraph"/>
        <w:numPr>
          <w:ilvl w:val="0"/>
          <w:numId w:val="2"/>
        </w:numPr>
        <w:spacing w:after="100" w:line="300"/>
      </w:pPr>
      <w:r>
        <w:rPr>
          <w:color w:val="000000"/>
          <w:sz w:val="22"/>
          <w:szCs w:val="22"/>
        </w:rPr>
        <w:t xml:space="preserve">정품·관리 문의가 셀프 진단으로 분산되면서 고객센터 응대 부담이 줄어든다</w:t>
      </w:r>
    </w:p>
    <w:p>
      <w:pPr>
        <w:pStyle w:val="ListParagraph"/>
        <w:numPr>
          <w:ilvl w:val="0"/>
          <w:numId w:val="2"/>
        </w:numPr>
        <w:spacing w:after="100" w:line="300"/>
      </w:pPr>
      <w:r>
        <w:rPr>
          <w:color w:val="000000"/>
          <w:sz w:val="22"/>
          <w:szCs w:val="22"/>
        </w:rPr>
        <w:t xml:space="preserve">획일적인 마케팅 캠페인 없이도 여권 데이터를 근거로 한 자동화된 재접점이 생겨, 캠페인 운영 비용을 아낄 수 있다</w:t>
      </w:r>
    </w:p>
    <w:p>
      <w:pPr>
        <w:pStyle w:val="ListParagraph"/>
        <w:numPr>
          <w:ilvl w:val="0"/>
          <w:numId w:val="2"/>
        </w:numPr>
        <w:spacing w:after="100" w:line="300"/>
      </w:pPr>
      <w:r>
        <w:rPr>
          <w:color w:val="000000"/>
          <w:sz w:val="22"/>
          <w:szCs w:val="22"/>
        </w:rPr>
        <w:t xml:space="preserve">관리 이력이 데이터로 쌓이면서, 정품 분쟁 대응에 드는 시간과 비용이 줄어든다</w:t>
      </w:r>
    </w:p>
    <w:p>
      <w:pPr>
        <w:pStyle w:val="Heading2"/>
        <w:spacing w:after="160" w:before="380"/>
      </w:pPr>
      <w:r>
        <w:rPr>
          <w:b/>
          <w:bCs/>
          <w:color w:val="000000"/>
          <w:sz w:val="27"/>
          <w:szCs w:val="27"/>
        </w:rPr>
        <w:t xml:space="preserve">10. 시장 진입</w:t>
      </w:r>
    </w:p>
    <w:p>
      <w:pPr>
        <w:spacing w:after="160" w:line="320"/>
      </w:pPr>
      <w:r>
        <w:rPr>
          <w:color w:val="000000"/>
          <w:sz w:val="22"/>
          <w:szCs w:val="22"/>
        </w:rPr>
        <w:t xml:space="preserve">전체 라인업에 한꺼번에 적용하기보다, 시리얼 확인이 쉬운 헤리티지 컬렉션과 기존 멤버십 고객부터 단계적으로 넓혀가는 방식을 계획한다. 다만 헤리티지·빈티지 라인은 4자리 숫자 시리얼이라 신형(영문 1자+숫자4자리)보다 충돌 확률이 높다는 점은 별도의 보조 식별자(등록 시점, 구매 정보 등)로 보완이 필요하다.</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5200"/>
        <w:gridCol w:w="2000"/>
      </w:tblGrid>
      <w:tr>
        <w:trPr>
          <w:tblHeader/>
        </w:trPr>
        <w:tc>
          <w:tcPr>
            <w:tcW w:type="dxa" w:w="1800"/>
            <w:shd w:fill="EAEAEA" w:color="auto" w:val="clear"/>
            <w:tcMar>
              <w:top w:type="dxa" w:w="100"/>
              <w:left w:type="dxa" w:w="120"/>
              <w:bottom w:type="dxa" w:w="100"/>
              <w:right w:type="dxa" w:w="120"/>
            </w:tcMar>
          </w:tcPr>
          <w:p>
            <w:r>
              <w:rPr>
                <w:b/>
                <w:bCs/>
                <w:color w:val="000000"/>
                <w:sz w:val="20"/>
                <w:szCs w:val="20"/>
              </w:rPr>
              <w:t xml:space="preserve">단계</w:t>
            </w:r>
          </w:p>
        </w:tc>
        <w:tc>
          <w:tcPr>
            <w:tcW w:type="dxa" w:w="5200"/>
            <w:shd w:fill="EAEAEA" w:color="auto" w:val="clear"/>
            <w:tcMar>
              <w:top w:type="dxa" w:w="100"/>
              <w:left w:type="dxa" w:w="120"/>
              <w:bottom w:type="dxa" w:w="100"/>
              <w:right w:type="dxa" w:w="120"/>
            </w:tcMar>
          </w:tcPr>
          <w:p>
            <w:r>
              <w:rPr>
                <w:b/>
                <w:bCs/>
                <w:color w:val="000000"/>
                <w:sz w:val="20"/>
                <w:szCs w:val="20"/>
              </w:rPr>
              <w:t xml:space="preserve">내용</w:t>
            </w:r>
          </w:p>
        </w:tc>
        <w:tc>
          <w:tcPr>
            <w:tcW w:type="dxa" w:w="2000"/>
            <w:shd w:fill="EAEAEA" w:color="auto" w:val="clear"/>
            <w:tcMar>
              <w:top w:type="dxa" w:w="100"/>
              <w:left w:type="dxa" w:w="120"/>
              <w:bottom w:type="dxa" w:w="100"/>
              <w:right w:type="dxa" w:w="120"/>
            </w:tcMar>
          </w:tcPr>
          <w:p>
            <w:r>
              <w:rPr>
                <w:b/>
                <w:bCs/>
                <w:color w:val="000000"/>
                <w:sz w:val="20"/>
                <w:szCs w:val="20"/>
              </w:rPr>
              <w:t xml:space="preserve">전환 기준</w:t>
            </w:r>
          </w:p>
        </w:tc>
      </w:tr>
      <w:tr>
        <w:tc>
          <w:tcPr>
            <w:tcW w:type="dxa" w:w="1800"/>
            <w:tcMar>
              <w:top w:type="dxa" w:w="90"/>
              <w:left w:type="dxa" w:w="120"/>
              <w:bottom w:type="dxa" w:w="90"/>
              <w:right w:type="dxa" w:w="120"/>
            </w:tcMar>
          </w:tcPr>
          <w:p>
            <w:pPr>
              <w:spacing w:line="280"/>
            </w:pPr>
            <w:r>
              <w:rPr>
                <w:color w:val="000000"/>
                <w:sz w:val="20"/>
                <w:szCs w:val="20"/>
              </w:rPr>
              <w:t xml:space="preserve">1단계 · 파일럿</w:t>
            </w:r>
          </w:p>
        </w:tc>
        <w:tc>
          <w:tcPr>
            <w:tcW w:type="dxa" w:w="5200"/>
            <w:tcMar>
              <w:top w:type="dxa" w:w="90"/>
              <w:left w:type="dxa" w:w="120"/>
              <w:bottom w:type="dxa" w:w="90"/>
              <w:right w:type="dxa" w:w="120"/>
            </w:tcMar>
          </w:tcPr>
          <w:p>
            <w:pPr>
              <w:spacing w:line="280"/>
            </w:pPr>
            <w:r>
              <w:rPr>
                <w:color w:val="000000"/>
                <w:sz w:val="20"/>
                <w:szCs w:val="20"/>
              </w:rPr>
              <w:t xml:space="preserve">헤리티지 컬렉션 보유 고객과 기존 멤버십 고객을 매장 1~2곳에서 이메일·매장 안내로 초대해 베타 운영</w:t>
            </w:r>
          </w:p>
        </w:tc>
        <w:tc>
          <w:tcPr>
            <w:tcW w:type="dxa" w:w="2000"/>
            <w:tcMar>
              <w:top w:type="dxa" w:w="90"/>
              <w:left w:type="dxa" w:w="120"/>
              <w:bottom w:type="dxa" w:w="90"/>
              <w:right w:type="dxa" w:w="120"/>
            </w:tcMar>
          </w:tcPr>
          <w:p>
            <w:pPr>
              <w:spacing w:line="280"/>
            </w:pPr>
            <w:r>
              <w:rPr>
                <w:color w:val="000000"/>
                <w:sz w:val="20"/>
                <w:szCs w:val="20"/>
              </w:rPr>
              <w:t xml:space="preserve">여권 등록률, 진단 완료율</w:t>
            </w:r>
          </w:p>
        </w:tc>
      </w:tr>
      <w:tr>
        <w:tc>
          <w:tcPr>
            <w:tcW w:type="dxa" w:w="1800"/>
            <w:tcMar>
              <w:top w:type="dxa" w:w="90"/>
              <w:left w:type="dxa" w:w="120"/>
              <w:bottom w:type="dxa" w:w="90"/>
              <w:right w:type="dxa" w:w="120"/>
            </w:tcMar>
          </w:tcPr>
          <w:p>
            <w:pPr>
              <w:spacing w:line="280"/>
            </w:pPr>
            <w:r>
              <w:rPr>
                <w:color w:val="000000"/>
                <w:sz w:val="20"/>
                <w:szCs w:val="20"/>
              </w:rPr>
              <w:t xml:space="preserve">2단계 · 확장</w:t>
            </w:r>
          </w:p>
        </w:tc>
        <w:tc>
          <w:tcPr>
            <w:tcW w:type="dxa" w:w="5200"/>
            <w:tcMar>
              <w:top w:type="dxa" w:w="90"/>
              <w:left w:type="dxa" w:w="120"/>
              <w:bottom w:type="dxa" w:w="90"/>
              <w:right w:type="dxa" w:w="120"/>
            </w:tcMar>
          </w:tcPr>
          <w:p>
            <w:pPr>
              <w:spacing w:line="280"/>
            </w:pPr>
            <w:r>
              <w:rPr>
                <w:color w:val="000000"/>
                <w:sz w:val="20"/>
                <w:szCs w:val="20"/>
              </w:rPr>
              <w:t xml:space="preserve">파일럿에서 확인된 사용성을 바탕으로 참여 매장과 헤리티지 라인업 전체로 적용 범위를 넓힘</w:t>
            </w:r>
          </w:p>
        </w:tc>
        <w:tc>
          <w:tcPr>
            <w:tcW w:type="dxa" w:w="2000"/>
            <w:tcMar>
              <w:top w:type="dxa" w:w="90"/>
              <w:left w:type="dxa" w:w="120"/>
              <w:bottom w:type="dxa" w:w="90"/>
              <w:right w:type="dxa" w:w="120"/>
            </w:tcMar>
          </w:tcPr>
          <w:p>
            <w:pPr>
              <w:spacing w:line="280"/>
            </w:pPr>
            <w:r>
              <w:rPr>
                <w:color w:val="000000"/>
                <w:sz w:val="20"/>
                <w:szCs w:val="20"/>
              </w:rPr>
              <w:t xml:space="preserve">재진단률, 케어 예약 전환율</w:t>
            </w:r>
          </w:p>
        </w:tc>
      </w:tr>
      <w:tr>
        <w:tc>
          <w:tcPr>
            <w:tcW w:type="dxa" w:w="1800"/>
            <w:tcMar>
              <w:top w:type="dxa" w:w="90"/>
              <w:left w:type="dxa" w:w="120"/>
              <w:bottom w:type="dxa" w:w="90"/>
              <w:right w:type="dxa" w:w="120"/>
            </w:tcMar>
          </w:tcPr>
          <w:p>
            <w:pPr>
              <w:spacing w:line="280"/>
            </w:pPr>
            <w:r>
              <w:rPr>
                <w:color w:val="000000"/>
                <w:sz w:val="20"/>
                <w:szCs w:val="20"/>
              </w:rPr>
              <w:t xml:space="preserve">3단계 · 전체 적용</w:t>
            </w:r>
          </w:p>
        </w:tc>
        <w:tc>
          <w:tcPr>
            <w:tcW w:type="dxa" w:w="5200"/>
            <w:tcMar>
              <w:top w:type="dxa" w:w="90"/>
              <w:left w:type="dxa" w:w="120"/>
              <w:bottom w:type="dxa" w:w="90"/>
              <w:right w:type="dxa" w:w="120"/>
            </w:tcMar>
          </w:tcPr>
          <w:p>
            <w:pPr>
              <w:spacing w:line="280"/>
            </w:pPr>
            <w:r>
              <w:rPr>
                <w:color w:val="000000"/>
                <w:sz w:val="20"/>
                <w:szCs w:val="20"/>
              </w:rPr>
              <w:t xml:space="preserve">전체 제품 라인업과 매장으로 확장하고, 공식 리세일 채널 연계를 시작</w:t>
            </w:r>
          </w:p>
        </w:tc>
        <w:tc>
          <w:tcPr>
            <w:tcW w:type="dxa" w:w="2000"/>
            <w:tcMar>
              <w:top w:type="dxa" w:w="90"/>
              <w:left w:type="dxa" w:w="120"/>
              <w:bottom w:type="dxa" w:w="90"/>
              <w:right w:type="dxa" w:w="120"/>
            </w:tcMar>
          </w:tcPr>
          <w:p>
            <w:pPr>
              <w:spacing w:line="280"/>
            </w:pPr>
            <w:r>
              <w:rPr>
                <w:color w:val="000000"/>
                <w:sz w:val="20"/>
                <w:szCs w:val="20"/>
              </w:rPr>
              <w:t xml:space="preserve">재구매 전환율, 여권 승계 건수</w:t>
            </w:r>
          </w:p>
        </w:tc>
      </w:tr>
    </w:tbl>
    <w:p>
      <w:pPr>
        <w:spacing w:after="120"/>
      </w:pPr>
    </w:p>
    <w:p>
      <w:pPr>
        <w:spacing w:after="160" w:line="320"/>
      </w:pPr>
      <w:r>
        <w:rPr>
          <w:color w:val="000000"/>
          <w:sz w:val="22"/>
          <w:szCs w:val="22"/>
        </w:rPr>
        <w:t xml:space="preserve">각 단계로 넘어가는 기준은 표에 정리한 핵심 지표로 판단하며, 지표가 확인되기 전까지는 다음 단계로 서둘러 넘어가지 않는다.</w:t>
      </w:r>
    </w:p>
    <w:p>
      <w:pPr>
        <w:pStyle w:val="Heading2"/>
        <w:spacing w:after="160" w:before="380"/>
      </w:pPr>
      <w:r>
        <w:rPr>
          <w:b/>
          <w:bCs/>
          <w:color w:val="000000"/>
          <w:sz w:val="27"/>
          <w:szCs w:val="27"/>
        </w:rPr>
        <w:t xml:space="preserve">11. 팀 소개</w:t>
      </w:r>
    </w:p>
    <w:p>
      <w:pPr>
        <w:spacing w:after="160" w:line="320"/>
      </w:pPr>
      <w:r>
        <w:rPr>
          <w:color w:val="000000"/>
          <w:sz w:val="22"/>
          <w:szCs w:val="22"/>
        </w:rPr>
        <w:t xml:space="preserve">이번 기획은 AI/데이터, 프런트엔드, 백엔드, 기획 네 가지 파트가 함께 맡아 진행한다. 각 파트의 담당 영역은 아래 표에 정리한다.</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5200"/>
        <w:gridCol w:w="2200"/>
      </w:tblGrid>
      <w:tr>
        <w:trPr>
          <w:tblHeader/>
        </w:trPr>
        <w:tc>
          <w:tcPr>
            <w:tcW w:type="dxa" w:w="1600"/>
            <w:shd w:fill="EAEAEA" w:color="auto" w:val="clear"/>
            <w:tcMar>
              <w:top w:type="dxa" w:w="100"/>
              <w:left w:type="dxa" w:w="120"/>
              <w:bottom w:type="dxa" w:w="100"/>
              <w:right w:type="dxa" w:w="120"/>
            </w:tcMar>
          </w:tcPr>
          <w:p>
            <w:r>
              <w:rPr>
                <w:b/>
                <w:bCs/>
                <w:color w:val="000000"/>
                <w:sz w:val="20"/>
                <w:szCs w:val="20"/>
              </w:rPr>
              <w:t xml:space="preserve">파트</w:t>
            </w:r>
          </w:p>
        </w:tc>
        <w:tc>
          <w:tcPr>
            <w:tcW w:type="dxa" w:w="5200"/>
            <w:shd w:fill="EAEAEA" w:color="auto" w:val="clear"/>
            <w:tcMar>
              <w:top w:type="dxa" w:w="100"/>
              <w:left w:type="dxa" w:w="120"/>
              <w:bottom w:type="dxa" w:w="100"/>
              <w:right w:type="dxa" w:w="120"/>
            </w:tcMar>
          </w:tcPr>
          <w:p>
            <w:r>
              <w:rPr>
                <w:b/>
                <w:bCs/>
                <w:color w:val="000000"/>
                <w:sz w:val="20"/>
                <w:szCs w:val="20"/>
              </w:rPr>
              <w:t xml:space="preserve">담당 영역</w:t>
            </w:r>
          </w:p>
        </w:tc>
        <w:tc>
          <w:tcPr>
            <w:tcW w:type="dxa" w:w="2200"/>
            <w:shd w:fill="EAEAEA" w:color="auto" w:val="clear"/>
            <w:tcMar>
              <w:top w:type="dxa" w:w="100"/>
              <w:left w:type="dxa" w:w="120"/>
              <w:bottom w:type="dxa" w:w="100"/>
              <w:right w:type="dxa" w:w="120"/>
            </w:tcMar>
          </w:tcPr>
          <w:p>
            <w:r>
              <w:rPr>
                <w:b/>
                <w:bCs/>
                <w:color w:val="000000"/>
                <w:sz w:val="20"/>
                <w:szCs w:val="20"/>
              </w:rPr>
              <w:t xml:space="preserve">담당자</w:t>
            </w:r>
          </w:p>
        </w:tc>
      </w:tr>
      <w:tr>
        <w:tc>
          <w:tcPr>
            <w:tcW w:type="dxa" w:w="1600"/>
            <w:tcMar>
              <w:top w:type="dxa" w:w="90"/>
              <w:left w:type="dxa" w:w="120"/>
              <w:bottom w:type="dxa" w:w="90"/>
              <w:right w:type="dxa" w:w="120"/>
            </w:tcMar>
          </w:tcPr>
          <w:p>
            <w:pPr>
              <w:spacing w:line="280"/>
            </w:pPr>
            <w:r>
              <w:rPr>
                <w:color w:val="000000"/>
                <w:sz w:val="20"/>
                <w:szCs w:val="20"/>
              </w:rPr>
              <w:t xml:space="preserve">AI/데이터</w:t>
            </w:r>
          </w:p>
        </w:tc>
        <w:tc>
          <w:tcPr>
            <w:tcW w:type="dxa" w:w="5200"/>
            <w:tcMar>
              <w:top w:type="dxa" w:w="90"/>
              <w:left w:type="dxa" w:w="120"/>
              <w:bottom w:type="dxa" w:w="90"/>
              <w:right w:type="dxa" w:w="120"/>
            </w:tcMar>
          </w:tcPr>
          <w:p>
            <w:pPr>
              <w:spacing w:line="280"/>
            </w:pPr>
            <w:r>
              <w:rPr>
                <w:color w:val="000000"/>
                <w:sz w:val="20"/>
                <w:szCs w:val="20"/>
              </w:rPr>
              <w:t xml:space="preserve">마모 진단 로직 설계, Lifecycle Curator의 판단 근거 산출</w:t>
            </w:r>
          </w:p>
        </w:tc>
        <w:tc>
          <w:tcPr>
            <w:tcW w:type="dxa" w:w="2200"/>
            <w:tcMar>
              <w:top w:type="dxa" w:w="90"/>
              <w:left w:type="dxa" w:w="120"/>
              <w:bottom w:type="dxa" w:w="90"/>
              <w:right w:type="dxa" w:w="120"/>
            </w:tcMar>
          </w:tcPr>
          <w:p>
            <w:pPr>
              <w:spacing w:line="280"/>
            </w:pPr>
            <w:r>
              <w:rPr>
                <w:color w:val="000000"/>
                <w:sz w:val="20"/>
                <w:szCs w:val="20"/>
              </w:rPr>
              <w:t xml:space="preserve">이현욱</w:t>
            </w:r>
          </w:p>
        </w:tc>
      </w:tr>
      <w:tr>
        <w:tc>
          <w:tcPr>
            <w:tcW w:type="dxa" w:w="1600"/>
            <w:tcMar>
              <w:top w:type="dxa" w:w="90"/>
              <w:left w:type="dxa" w:w="120"/>
              <w:bottom w:type="dxa" w:w="90"/>
              <w:right w:type="dxa" w:w="120"/>
            </w:tcMar>
          </w:tcPr>
          <w:p>
            <w:pPr>
              <w:spacing w:line="280"/>
            </w:pPr>
            <w:r>
              <w:rPr>
                <w:color w:val="000000"/>
                <w:sz w:val="20"/>
                <w:szCs w:val="20"/>
              </w:rPr>
              <w:t xml:space="preserve">프런트엔드</w:t>
            </w:r>
          </w:p>
        </w:tc>
        <w:tc>
          <w:tcPr>
            <w:tcW w:type="dxa" w:w="5200"/>
            <w:tcMar>
              <w:top w:type="dxa" w:w="90"/>
              <w:left w:type="dxa" w:w="120"/>
              <w:bottom w:type="dxa" w:w="90"/>
              <w:right w:type="dxa" w:w="120"/>
            </w:tcMar>
          </w:tcPr>
          <w:p>
            <w:pPr>
              <w:spacing w:line="280"/>
            </w:pPr>
            <w:r>
              <w:rPr>
                <w:color w:val="000000"/>
                <w:sz w:val="20"/>
                <w:szCs w:val="20"/>
              </w:rPr>
              <w:t xml:space="preserve">핵심 데모 화면(제품 등록→진단→알림→타임라인) 구현</w:t>
            </w:r>
          </w:p>
        </w:tc>
        <w:tc>
          <w:tcPr>
            <w:tcW w:type="dxa" w:w="2200"/>
            <w:tcMar>
              <w:top w:type="dxa" w:w="90"/>
              <w:left w:type="dxa" w:w="120"/>
              <w:bottom w:type="dxa" w:w="90"/>
              <w:right w:type="dxa" w:w="120"/>
            </w:tcMar>
          </w:tcPr>
          <w:p>
            <w:pPr>
              <w:spacing w:line="280"/>
            </w:pPr>
            <w:r>
              <w:rPr>
                <w:color w:val="000000"/>
                <w:sz w:val="20"/>
                <w:szCs w:val="20"/>
              </w:rPr>
              <w:t xml:space="preserve">심지윤</w:t>
            </w:r>
          </w:p>
        </w:tc>
      </w:tr>
      <w:tr>
        <w:tc>
          <w:tcPr>
            <w:tcW w:type="dxa" w:w="1600"/>
            <w:tcMar>
              <w:top w:type="dxa" w:w="90"/>
              <w:left w:type="dxa" w:w="120"/>
              <w:bottom w:type="dxa" w:w="90"/>
              <w:right w:type="dxa" w:w="120"/>
            </w:tcMar>
          </w:tcPr>
          <w:p>
            <w:pPr>
              <w:spacing w:line="280"/>
            </w:pPr>
            <w:r>
              <w:rPr>
                <w:color w:val="000000"/>
                <w:sz w:val="20"/>
                <w:szCs w:val="20"/>
              </w:rPr>
              <w:t xml:space="preserve">백엔드</w:t>
            </w:r>
          </w:p>
        </w:tc>
        <w:tc>
          <w:tcPr>
            <w:tcW w:type="dxa" w:w="5200"/>
            <w:tcMar>
              <w:top w:type="dxa" w:w="90"/>
              <w:left w:type="dxa" w:w="120"/>
              <w:bottom w:type="dxa" w:w="90"/>
              <w:right w:type="dxa" w:w="120"/>
            </w:tcMar>
          </w:tcPr>
          <w:p>
            <w:pPr>
              <w:spacing w:line="280"/>
            </w:pPr>
            <w:r>
              <w:rPr>
                <w:color w:val="000000"/>
                <w:sz w:val="20"/>
                <w:szCs w:val="20"/>
              </w:rPr>
              <w:t xml:space="preserve">여권·진단·알림 데이터 저장 구조 설계, API 연동</w:t>
            </w:r>
          </w:p>
        </w:tc>
        <w:tc>
          <w:tcPr>
            <w:tcW w:type="dxa" w:w="2200"/>
            <w:tcMar>
              <w:top w:type="dxa" w:w="90"/>
              <w:left w:type="dxa" w:w="120"/>
              <w:bottom w:type="dxa" w:w="90"/>
              <w:right w:type="dxa" w:w="120"/>
            </w:tcMar>
          </w:tcPr>
          <w:p>
            <w:pPr>
              <w:spacing w:line="280"/>
            </w:pPr>
            <w:r>
              <w:rPr>
                <w:color w:val="000000"/>
                <w:sz w:val="20"/>
                <w:szCs w:val="20"/>
              </w:rPr>
              <w:t xml:space="preserve">정준영</w:t>
            </w:r>
          </w:p>
        </w:tc>
      </w:tr>
      <w:tr>
        <w:tc>
          <w:tcPr>
            <w:tcW w:type="dxa" w:w="1600"/>
            <w:tcMar>
              <w:top w:type="dxa" w:w="90"/>
              <w:left w:type="dxa" w:w="120"/>
              <w:bottom w:type="dxa" w:w="90"/>
              <w:right w:type="dxa" w:w="120"/>
            </w:tcMar>
          </w:tcPr>
          <w:p>
            <w:pPr>
              <w:spacing w:line="280"/>
            </w:pPr>
            <w:r>
              <w:rPr>
                <w:color w:val="000000"/>
                <w:sz w:val="20"/>
                <w:szCs w:val="20"/>
              </w:rPr>
              <w:t xml:space="preserve">기획</w:t>
            </w:r>
          </w:p>
        </w:tc>
        <w:tc>
          <w:tcPr>
            <w:tcW w:type="dxa" w:w="5200"/>
            <w:tcMar>
              <w:top w:type="dxa" w:w="90"/>
              <w:left w:type="dxa" w:w="120"/>
              <w:bottom w:type="dxa" w:w="90"/>
              <w:right w:type="dxa" w:w="120"/>
            </w:tcMar>
          </w:tcPr>
          <w:p>
            <w:pPr>
              <w:spacing w:line="280"/>
            </w:pPr>
            <w:r>
              <w:rPr>
                <w:color w:val="000000"/>
                <w:sz w:val="20"/>
                <w:szCs w:val="20"/>
              </w:rPr>
              <w:t xml:space="preserve">MCM 브랜드 자산 조사, 심사기준 대응, 피칭 스토리 구성</w:t>
            </w:r>
          </w:p>
        </w:tc>
        <w:tc>
          <w:tcPr>
            <w:tcW w:type="dxa" w:w="2200"/>
            <w:tcMar>
              <w:top w:type="dxa" w:w="90"/>
              <w:left w:type="dxa" w:w="120"/>
              <w:bottom w:type="dxa" w:w="90"/>
              <w:right w:type="dxa" w:w="120"/>
            </w:tcMar>
          </w:tcPr>
          <w:p>
            <w:pPr>
              <w:spacing w:line="280"/>
            </w:pPr>
            <w:r>
              <w:rPr>
                <w:color w:val="000000"/>
                <w:sz w:val="20"/>
                <w:szCs w:val="20"/>
              </w:rPr>
              <w:t xml:space="preserve">김예란</w:t>
            </w:r>
          </w:p>
        </w:tc>
      </w:tr>
    </w:tbl>
    <w:p>
      <w:pPr>
        <w:spacing w:after="120"/>
      </w:pPr>
    </w:p>
    <w:p>
      <w:pPr>
        <w:pStyle w:val="Heading3"/>
        <w:spacing w:after="120" w:before="260"/>
      </w:pPr>
      <w:r>
        <w:rPr>
          <w:b/>
          <w:bCs/>
          <w:color w:val="000000"/>
          <w:sz w:val="23"/>
          <w:szCs w:val="23"/>
        </w:rPr>
        <w:t xml:space="preserve">팀원 상세 소개</w:t>
      </w:r>
    </w:p>
    <w:p>
      <w:pPr>
        <w:spacing w:after="100" w:before="200"/>
      </w:pPr>
      <w:r>
        <w:rPr>
          <w:b/>
          <w:bCs/>
          <w:color w:val="000000"/>
          <w:sz w:val="23"/>
          <w:szCs w:val="23"/>
        </w:rPr>
        <w:t xml:space="preserve">이현욱 </w:t>
      </w:r>
      <w:r>
        <w:rPr>
          <w:color w:val="000000"/>
          <w:sz w:val="20"/>
          <w:szCs w:val="20"/>
        </w:rPr>
        <w:t xml:space="preserve">— AI/데이터</w:t>
      </w:r>
    </w:p>
    <w:p>
      <w:pPr>
        <w:pStyle w:val="ListParagraph"/>
        <w:numPr>
          <w:ilvl w:val="0"/>
          <w:numId w:val="2"/>
        </w:numPr>
        <w:spacing w:after="100" w:line="300"/>
      </w:pPr>
      <w:r>
        <w:rPr>
          <w:color w:val="000000"/>
          <w:sz w:val="22"/>
          <w:szCs w:val="22"/>
        </w:rPr>
        <w:t xml:space="preserve">정보처리기사, LLM·Multi-Agent·Computer Vision 분야 학부연구생 경험이 있는 AI 개발자</w:t>
      </w:r>
    </w:p>
    <w:p>
      <w:pPr>
        <w:pStyle w:val="ListParagraph"/>
        <w:numPr>
          <w:ilvl w:val="0"/>
          <w:numId w:val="2"/>
        </w:numPr>
        <w:spacing w:after="100" w:line="300"/>
      </w:pPr>
      <w:r>
        <w:rPr>
          <w:color w:val="000000"/>
          <w:sz w:val="22"/>
          <w:szCs w:val="22"/>
        </w:rPr>
        <w:t xml:space="preserve">생성형 영상·시 생성 AI 팀 리드로 Outstanding Capstone 선정, LG Aimers 5·6·7기 참가로 데이터 분석·모델링 경험 다수</w:t>
      </w:r>
    </w:p>
    <w:p>
      <w:pPr>
        <w:pStyle w:val="ListParagraph"/>
        <w:numPr>
          <w:ilvl w:val="0"/>
          <w:numId w:val="2"/>
        </w:numPr>
        <w:spacing w:after="100" w:line="300"/>
      </w:pPr>
      <w:r>
        <w:rPr>
          <w:color w:val="000000"/>
          <w:sz w:val="22"/>
          <w:szCs w:val="22"/>
        </w:rPr>
        <w:t xml:space="preserve">2025 AI Make a Thon 대상, 2026 대전충남 초광역 창업역량 강화캠프 대상 등 관련 대회 수상 다수</w:t>
      </w:r>
    </w:p>
    <w:p>
      <w:pPr>
        <w:spacing w:after="160" w:line="320"/>
      </w:pPr>
      <w:r>
        <w:rPr>
          <w:b/>
          <w:bCs/>
          <w:color w:val="000000"/>
          <w:sz w:val="21"/>
          <w:szCs w:val="21"/>
        </w:rPr>
        <w:t xml:space="preserve">기술 스택: </w:t>
      </w:r>
      <w:r>
        <w:rPr>
          <w:color w:val="000000"/>
          <w:sz w:val="21"/>
          <w:szCs w:val="21"/>
        </w:rPr>
        <w:t xml:space="preserve">Python, PyTorch, LLM/RAG, Computer Vision, Multi-Agent, React, Spring Boot</w:t>
      </w:r>
    </w:p>
    <w:p>
      <w:pPr>
        <w:spacing w:after="100" w:before="220"/>
      </w:pPr>
      <w:r>
        <w:rPr>
          <w:b/>
          <w:bCs/>
          <w:color w:val="000000"/>
          <w:sz w:val="23"/>
          <w:szCs w:val="23"/>
        </w:rPr>
        <w:t xml:space="preserve">심지윤 </w:t>
      </w:r>
      <w:r>
        <w:rPr>
          <w:color w:val="000000"/>
          <w:sz w:val="20"/>
          <w:szCs w:val="20"/>
        </w:rPr>
        <w:t xml:space="preserve">— 프런트엔드</w:t>
      </w:r>
    </w:p>
    <w:p>
      <w:pPr>
        <w:pStyle w:val="ListParagraph"/>
        <w:numPr>
          <w:ilvl w:val="0"/>
          <w:numId w:val="2"/>
        </w:numPr>
        <w:spacing w:after="100" w:line="300"/>
      </w:pPr>
      <w:r>
        <w:rPr>
          <w:color w:val="000000"/>
          <w:sz w:val="22"/>
          <w:szCs w:val="22"/>
        </w:rPr>
        <w:t xml:space="preserve">소프트웨어 전공</w:t>
      </w:r>
    </w:p>
    <w:p>
      <w:pPr>
        <w:pStyle w:val="ListParagraph"/>
        <w:numPr>
          <w:ilvl w:val="0"/>
          <w:numId w:val="2"/>
        </w:numPr>
        <w:spacing w:after="100" w:line="300"/>
      </w:pPr>
      <w:r>
        <w:rPr>
          <w:color w:val="000000"/>
          <w:sz w:val="22"/>
          <w:szCs w:val="22"/>
        </w:rPr>
        <w:t xml:space="preserve">파이썬프로그래밍활용능력 2급, 생성형 AI LEADER(구글) 과정 수료</w:t>
      </w:r>
    </w:p>
    <w:p>
      <w:pPr>
        <w:spacing w:after="160" w:line="320"/>
      </w:pPr>
      <w:r>
        <w:rPr>
          <w:b/>
          <w:bCs/>
          <w:color w:val="000000"/>
          <w:sz w:val="21"/>
          <w:szCs w:val="21"/>
        </w:rPr>
        <w:t xml:space="preserve">기술 스택: </w:t>
      </w:r>
      <w:r>
        <w:rPr>
          <w:color w:val="000000"/>
          <w:sz w:val="21"/>
          <w:szCs w:val="21"/>
        </w:rPr>
        <w:t xml:space="preserve">Python, Java, C</w:t>
      </w:r>
    </w:p>
    <w:p>
      <w:pPr>
        <w:spacing w:after="100" w:before="220"/>
      </w:pPr>
      <w:r>
        <w:rPr>
          <w:b/>
          <w:bCs/>
          <w:color w:val="000000"/>
          <w:sz w:val="23"/>
          <w:szCs w:val="23"/>
        </w:rPr>
        <w:t xml:space="preserve">정준영 </w:t>
      </w:r>
      <w:r>
        <w:rPr>
          <w:color w:val="000000"/>
          <w:sz w:val="20"/>
          <w:szCs w:val="20"/>
        </w:rPr>
        <w:t xml:space="preserve">— 백엔드</w:t>
      </w:r>
    </w:p>
    <w:p>
      <w:pPr>
        <w:pStyle w:val="ListParagraph"/>
        <w:numPr>
          <w:ilvl w:val="0"/>
          <w:numId w:val="2"/>
        </w:numPr>
        <w:spacing w:after="100" w:line="300"/>
      </w:pPr>
      <w:r>
        <w:rPr>
          <w:color w:val="000000"/>
          <w:sz w:val="22"/>
          <w:szCs w:val="22"/>
        </w:rPr>
        <w:t xml:space="preserve">소프트웨어 전공, OS·데이터베이스·자료구조·알고리즘 수강</w:t>
      </w:r>
    </w:p>
    <w:p>
      <w:pPr>
        <w:pStyle w:val="ListParagraph"/>
        <w:numPr>
          <w:ilvl w:val="0"/>
          <w:numId w:val="2"/>
        </w:numPr>
        <w:spacing w:after="100" w:line="300"/>
      </w:pPr>
      <w:r>
        <w:rPr>
          <w:color w:val="000000"/>
          <w:sz w:val="22"/>
          <w:szCs w:val="22"/>
        </w:rPr>
        <w:t xml:space="preserve">교내 졸업작품 출품 우수상 수상, 서버·백엔드 담당</w:t>
      </w:r>
    </w:p>
    <w:p>
      <w:pPr>
        <w:spacing w:after="160" w:line="320"/>
      </w:pPr>
      <w:r>
        <w:rPr>
          <w:b/>
          <w:bCs/>
          <w:color w:val="000000"/>
          <w:sz w:val="21"/>
          <w:szCs w:val="21"/>
        </w:rPr>
        <w:t xml:space="preserve">기술 스택: </w:t>
      </w:r>
      <w:r>
        <w:rPr>
          <w:color w:val="000000"/>
          <w:sz w:val="21"/>
          <w:szCs w:val="21"/>
        </w:rPr>
        <w:t xml:space="preserve">Java, Python, Spring Boot</w:t>
      </w:r>
    </w:p>
    <w:p>
      <w:pPr>
        <w:spacing w:after="100" w:before="220"/>
      </w:pPr>
      <w:r>
        <w:rPr>
          <w:b/>
          <w:bCs/>
          <w:color w:val="000000"/>
          <w:sz w:val="23"/>
          <w:szCs w:val="23"/>
        </w:rPr>
        <w:t xml:space="preserve">김예란 </w:t>
      </w:r>
      <w:r>
        <w:rPr>
          <w:color w:val="000000"/>
          <w:sz w:val="20"/>
          <w:szCs w:val="20"/>
        </w:rPr>
        <w:t xml:space="preserve">— 기획</w:t>
      </w:r>
    </w:p>
    <w:p>
      <w:pPr>
        <w:pStyle w:val="ListParagraph"/>
        <w:numPr>
          <w:ilvl w:val="0"/>
          <w:numId w:val="2"/>
        </w:numPr>
        <w:spacing w:after="100" w:line="300"/>
      </w:pPr>
      <w:r>
        <w:rPr>
          <w:color w:val="000000"/>
          <w:sz w:val="22"/>
          <w:szCs w:val="22"/>
        </w:rPr>
        <w:t xml:space="preserve">소프트웨어 전공</w:t>
      </w:r>
    </w:p>
    <w:p>
      <w:pPr>
        <w:pStyle w:val="ListParagraph"/>
        <w:numPr>
          <w:ilvl w:val="0"/>
          <w:numId w:val="2"/>
        </w:numPr>
        <w:spacing w:after="100" w:line="300"/>
      </w:pPr>
      <w:r>
        <w:rPr>
          <w:color w:val="000000"/>
          <w:sz w:val="22"/>
          <w:szCs w:val="22"/>
        </w:rPr>
        <w:t xml:space="preserve">자바 타자연습 프로그램 개발 — Java GUI 기반, 속도/정확도 측정 및 난이도별 문제 제공 기능 구현</w:t>
      </w:r>
    </w:p>
    <w:p>
      <w:pPr>
        <w:pStyle w:val="ListParagraph"/>
        <w:numPr>
          <w:ilvl w:val="0"/>
          <w:numId w:val="2"/>
        </w:numPr>
        <w:spacing w:after="100" w:line="300"/>
      </w:pPr>
      <w:r>
        <w:rPr>
          <w:color w:val="000000"/>
          <w:sz w:val="22"/>
          <w:szCs w:val="22"/>
        </w:rPr>
        <w:t xml:space="preserve">한기대 자취방 거래소 웹 서비스 개발 — PHP/MySQL 기반, Bootstrap 5·Leaflet.js 지도 API·AJAX 실시간 폴링 활용</w:t>
      </w:r>
    </w:p>
    <w:p>
      <w:pPr>
        <w:spacing w:after="160" w:line="320"/>
      </w:pPr>
      <w:r>
        <w:rPr>
          <w:b/>
          <w:bCs/>
          <w:color w:val="000000"/>
          <w:sz w:val="21"/>
          <w:szCs w:val="21"/>
        </w:rPr>
        <w:t xml:space="preserve">기술 스택: </w:t>
      </w:r>
      <w:r>
        <w:rPr>
          <w:color w:val="000000"/>
          <w:sz w:val="21"/>
          <w:szCs w:val="21"/>
        </w:rPr>
        <w:t xml:space="preserve">Java, PHP, MySQL, JavaScript</w:t>
      </w:r>
    </w:p>
    <w:p>
      <w:pPr>
        <w:pageBreakBefore/>
      </w:pPr>
    </w:p>
    <w:p>
      <w:pPr>
        <w:pStyle w:val="Heading2"/>
        <w:spacing w:after="160" w:before="380"/>
      </w:pPr>
      <w:r>
        <w:rPr>
          <w:b/>
          <w:bCs/>
          <w:color w:val="000000"/>
          <w:sz w:val="27"/>
          <w:szCs w:val="27"/>
        </w:rPr>
        <w:t xml:space="preserve">참고 자료</w:t>
      </w:r>
    </w:p>
    <w:p>
      <w:pPr>
        <w:spacing w:after="200" w:line="280"/>
      </w:pPr>
      <w:bookmarkStart w:name="fn1" w:id="1"/>
      <w:r>
        <w:rPr>
          <w:b/>
          <w:bCs/>
          <w:color w:val="000000"/>
          <w:sz w:val="19"/>
          <w:szCs w:val="19"/>
        </w:rPr>
        <w:t xml:space="preserve">[1] </w:t>
      </w:r>
      <w:bookmarkEnd w:id="1"/>
      <w:r>
        <w:rPr>
          <w:color w:val="000000"/>
          <w:sz w:val="19"/>
          <w:szCs w:val="19"/>
        </w:rPr>
        <w:t xml:space="preserve">The Business Research Company, Luxury Resale Global Market Report 2026 — https://www.thebusinessresearchcompany.com/report/luxury-resale-global-market-report</w:t>
      </w:r>
    </w:p>
    <w:p>
      <w:pPr>
        <w:spacing w:after="200" w:line="280"/>
      </w:pPr>
      <w:bookmarkStart w:name="fn2" w:id="1"/>
      <w:r>
        <w:rPr>
          <w:b/>
          <w:bCs/>
          <w:color w:val="000000"/>
          <w:sz w:val="19"/>
          <w:szCs w:val="19"/>
        </w:rPr>
        <w:t xml:space="preserve">[2] </w:t>
      </w:r>
      <w:bookmarkEnd w:id="1"/>
      <w:r>
        <w:rPr>
          <w:color w:val="000000"/>
          <w:sz w:val="19"/>
          <w:szCs w:val="19"/>
        </w:rPr>
        <w:t xml:space="preserve">Market Reports World, Luxury Resale Market Size, Share, Trends, Growth Rate To 2035 — https://www.marketreportsworld.com/market-reports/luxury-resale-market-14713258</w:t>
      </w:r>
    </w:p>
    <w:p>
      <w:pPr>
        <w:spacing w:after="200" w:line="280"/>
      </w:pPr>
      <w:bookmarkStart w:name="fn3" w:id="1"/>
      <w:r>
        <w:rPr>
          <w:b/>
          <w:bCs/>
          <w:color w:val="000000"/>
          <w:sz w:val="19"/>
          <w:szCs w:val="19"/>
        </w:rPr>
        <w:t xml:space="preserve">[3] </w:t>
      </w:r>
      <w:bookmarkEnd w:id="1"/>
      <w:r>
        <w:rPr>
          <w:color w:val="000000"/>
          <w:sz w:val="19"/>
          <w:szCs w:val="19"/>
        </w:rPr>
        <w:t xml:space="preserve">Cryptonews, Why Blockchain Is Important For Fashion Brands Enabling Digital Product Passports — https://cryptonews.com/news/why-blockchain-is-important-for-fashion-brands-enabling-digital-product-passports/</w:t>
      </w:r>
    </w:p>
    <w:p>
      <w:pPr>
        <w:spacing w:after="200" w:line="280"/>
      </w:pPr>
      <w:bookmarkStart w:name="fn4" w:id="1"/>
      <w:r>
        <w:rPr>
          <w:b/>
          <w:bCs/>
          <w:color w:val="000000"/>
          <w:sz w:val="19"/>
          <w:szCs w:val="19"/>
        </w:rPr>
        <w:t xml:space="preserve">[4] </w:t>
      </w:r>
      <w:bookmarkEnd w:id="1"/>
      <w:r>
        <w:rPr>
          <w:color w:val="000000"/>
          <w:sz w:val="19"/>
          <w:szCs w:val="19"/>
        </w:rPr>
        <w:t xml:space="preserve">Cycle Intelligence, EU Digital Product Passport for textiles: requirements and timeline — https://www.cycle-platform.com/knowledge/eu-digital-product-passport-textiles/</w:t>
      </w:r>
    </w:p>
    <w:p>
      <w:pPr>
        <w:spacing w:after="200" w:line="280"/>
      </w:pPr>
      <w:bookmarkStart w:name="fn5" w:id="1"/>
      <w:r>
        <w:rPr>
          <w:b/>
          <w:bCs/>
          <w:color w:val="000000"/>
          <w:sz w:val="19"/>
          <w:szCs w:val="19"/>
        </w:rPr>
        <w:t xml:space="preserve">[5] </w:t>
      </w:r>
      <w:bookmarkEnd w:id="1"/>
      <w:r>
        <w:rPr>
          <w:color w:val="000000"/>
          <w:sz w:val="19"/>
          <w:szCs w:val="19"/>
        </w:rPr>
        <w:t xml:space="preserve">OECD, Global Trade in Fakes (2021) — https://www.oecd.org/en/publications/global-trade-in-fakes_74c81154-en.html</w:t>
      </w:r>
    </w:p>
    <w:p>
      <w:pPr>
        <w:spacing w:after="120"/>
      </w:pPr>
    </w:p>
    <w:p>
      <w:pPr>
        <w:spacing w:after="160" w:line="320"/>
      </w:pPr>
      <w:r>
        <w:rPr>
          <w:color w:val="000000"/>
          <w:sz w:val="22"/>
          <w:szCs w:val="22"/>
        </w:rPr>
        <w:t xml:space="preserve">참고: 배경 절의 시장 규모 수치는 최신 보고서([1]) 기준 한 세트로 통일했다. 이전 버전에서 함께 인용했던 Arizton·Deep Market Insights 등 다른 기관 전망치는 서로 다른 발행 시점의 예측이라 혼선을 줄 수 있어 이번 개정에서 제외했다.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2f274c1a095811f45739fa8dc47aa0b2a0304b.png"/><Relationship Id="rId8" Type="http://schemas.openxmlformats.org/officeDocument/2006/relationships/image" Target="media/67402543661a3c18e654e85cb704fd533de6bb8f.png"/><Relationship Id="rId9" Type="http://schemas.openxmlformats.org/officeDocument/2006/relationships/image" Target="media/6d2bce688a5c408b7912c06adf8cb6c45084cebc.png"/><Relationship Id="rId10" Type="http://schemas.openxmlformats.org/officeDocument/2006/relationships/image" Target="media/78d9ede88a048370f98806f51f1c5669c2ece52e.png"/><Relationship Id="rId11" Type="http://schemas.openxmlformats.org/officeDocument/2006/relationships/image" Target="media/38ecc338a9714eb8c078be2d29f43c0be149c855.png"/><Relationship Id="rId12" Type="http://schemas.openxmlformats.org/officeDocument/2006/relationships/image" Target="media/7f72852c8db2fc0feda13759deb9a836a95d61d0.png"/><Relationship Id="rId13" Type="http://schemas.openxmlformats.org/officeDocument/2006/relationships/image" Target="media/94b49e900c2b15da3f6e2093bc8c7b2aa6bd6e94.png"/><Relationship Id="rId14" Type="http://schemas.openxmlformats.org/officeDocument/2006/relationships/image" Target="media/46d4f0b1fdc3402c1353ce93076a91036d18587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2026-08-12T15:57:42.191Z</dcterms:created>
  <dcterms:modified xsi:type="dcterms:W3CDTF">2026-08-12T15:57:42.204Z</dcterms:modified>
</cp:coreProperties>
</file>

<file path=docProps/custom.xml><?xml version="1.0" encoding="utf-8"?>
<Properties xmlns="http://schemas.openxmlformats.org/officeDocument/2006/custom-properties" xmlns:vt="http://schemas.openxmlformats.org/officeDocument/2006/docPropsVTypes"/>
</file>