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성안 2 — 핵심 결정사항 카드</w:t>
      </w:r>
    </w:p>
    <w:p>
      <w:pPr>
        <w:jc w:val="center"/>
      </w:pPr>
      <w:r>
        <w:rPr>
          <w:sz w:val="26"/>
        </w:rPr>
        <w:t>─ 경기도 노인 디지털 격차 해소 ─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DE7F6"/>
          </w:tcPr>
          <w:p>
            <w:r>
              <w:rPr>
                <w:b/>
                <w:sz w:val="24"/>
              </w:rPr>
              <w:t>◈ 각 결정에 대해 선택지 옆 근거 타지자체를 확인하고 답변하세요. 선택지 모음은 1단계 스크리닝 결과에서 추출된 것이므로 환각 없음.</w:t>
            </w:r>
          </w:p>
        </w:tc>
      </w:tr>
    </w:tbl>
    <w:p/>
    <w:p/>
    <w:p>
      <w:r>
        <w:rPr>
          <w:b/>
          <w:sz w:val="28"/>
        </w:rPr>
        <w:t>□ 1. 지원 대상 노인의 연령 기준</w:t>
      </w:r>
    </w:p>
    <w:p>
      <w:pPr>
        <w:ind w:left="283"/>
      </w:pPr>
      <w:r>
        <w:rPr>
          <w:i/>
          <w:color w:val="555555"/>
          <w:sz w:val="22"/>
        </w:rPr>
        <w:t>※ 왜 결정이 필요한가 : 노인복지 정책의 핵심은 수혜 대상 연령 설정이며, 이는 예산 규모와 수혜자 범위를 직접 결정합니다. 기존 조례들이 다양한 연령 기준을 채택하고 있어 정책 방향 선택이 필요합니다.</w:t>
      </w:r>
    </w:p>
    <w:p>
      <w:pPr>
        <w:ind w:left="283"/>
      </w:pPr>
      <w:r>
        <w:rPr>
          <w:b/>
          <w:sz w:val="24"/>
        </w:rPr>
        <w:t>○ 1) 60세 이상</w:t>
      </w:r>
      <w:r>
        <w:rPr>
          <w:sz w:val="24"/>
        </w:rPr>
        <w:t xml:space="preserve"> — 가평군 노인복지관 조례 기준</w:t>
      </w:r>
    </w:p>
    <w:p>
      <w:pPr>
        <w:ind w:left="567"/>
      </w:pPr>
      <w:r>
        <w:rPr>
          <w:i/>
          <w:color w:val="555555"/>
          <w:sz w:val="22"/>
        </w:rPr>
        <w:t xml:space="preserve">근거: </w:t>
      </w:r>
      <w:r>
        <w:rPr>
          <w:color w:val="555555"/>
          <w:sz w:val="22"/>
        </w:rPr>
        <w:t>경기도 가평군</w:t>
      </w:r>
    </w:p>
    <w:p>
      <w:pPr>
        <w:ind w:left="283"/>
      </w:pPr>
      <w:r>
        <w:rPr>
          <w:b/>
          <w:sz w:val="24"/>
        </w:rPr>
        <w:t>○ 2) 65세 이상</w:t>
      </w:r>
      <w:r>
        <w:rPr>
          <w:sz w:val="24"/>
        </w:rPr>
        <w:t xml:space="preserve"> — 가평군 노인예우 및 복지증진 조례의 일반 노인 정의</w:t>
      </w:r>
    </w:p>
    <w:p>
      <w:pPr>
        <w:ind w:left="567"/>
      </w:pPr>
      <w:r>
        <w:rPr>
          <w:i/>
          <w:color w:val="555555"/>
          <w:sz w:val="22"/>
        </w:rPr>
        <w:t xml:space="preserve">근거: </w:t>
      </w:r>
      <w:r>
        <w:rPr>
          <w:color w:val="555555"/>
          <w:sz w:val="22"/>
        </w:rPr>
        <w:t>경기도 가평군</w:t>
      </w:r>
    </w:p>
    <w:p>
      <w:pPr>
        <w:ind w:left="283"/>
      </w:pPr>
      <w:r>
        <w:rPr>
          <w:b/>
          <w:sz w:val="24"/>
        </w:rPr>
        <w:t>○ 3) 70세 이상 (고령노인)</w:t>
      </w:r>
      <w:r>
        <w:rPr>
          <w:sz w:val="24"/>
        </w:rPr>
        <w:t xml:space="preserve"> — 가평군의 고령노인 기준, 주차료 등 경로우대 적용 대상</w:t>
      </w:r>
    </w:p>
    <w:p>
      <w:pPr>
        <w:ind w:left="567"/>
      </w:pPr>
      <w:r>
        <w:rPr>
          <w:i/>
          <w:color w:val="555555"/>
          <w:sz w:val="22"/>
        </w:rPr>
        <w:t xml:space="preserve">근거: </w:t>
      </w:r>
      <w:r>
        <w:rPr>
          <w:color w:val="555555"/>
          <w:sz w:val="22"/>
        </w:rPr>
        <w:t>경기도 가평군</w:t>
      </w:r>
    </w:p>
    <w:p/>
    <w:p>
      <w:r>
        <w:rPr>
          <w:b/>
          <w:sz w:val="28"/>
        </w:rPr>
        <w:t>□ 2. 사업 운영 방식</w:t>
      </w:r>
    </w:p>
    <w:p>
      <w:pPr>
        <w:ind w:left="283"/>
      </w:pPr>
      <w:r>
        <w:rPr>
          <w:i/>
          <w:color w:val="555555"/>
          <w:sz w:val="22"/>
        </w:rPr>
        <w:t>※ 왜 결정이 필요한가 : 디지털 격차 해소 사업을 직영으로 운영할지 민간위탁할지는 예산 집행, 전문성 확보, 책임 소재 등에 중대한 영향을 미칩니다. 노인복지관 운영 사례를 참조할 수 있습니다.</w:t>
      </w:r>
    </w:p>
    <w:p>
      <w:pPr>
        <w:ind w:left="283"/>
      </w:pPr>
      <w:r>
        <w:rPr>
          <w:b/>
          <w:sz w:val="24"/>
        </w:rPr>
        <w:t>○ 1) 직영 운영 (경기도가 직접 운영)</w:t>
      </w:r>
      <w:r>
        <w:rPr>
          <w:sz w:val="24"/>
        </w:rPr>
        <w:t xml:space="preserve"> — 선택지 근거 부족 - 제공된 카드에 직영 운영 사례 없음</w:t>
      </w:r>
    </w:p>
    <w:p>
      <w:pPr>
        <w:ind w:left="567"/>
      </w:pPr>
      <w:r>
        <w:rPr>
          <w:i/>
          <w:color w:val="555555"/>
          <w:sz w:val="22"/>
        </w:rPr>
        <w:t xml:space="preserve">근거: </w:t>
      </w:r>
      <w:r>
        <w:rPr>
          <w:color w:val="555555"/>
          <w:sz w:val="22"/>
        </w:rPr>
        <w:t>(근거 없음)</w:t>
      </w:r>
    </w:p>
    <w:p>
      <w:pPr>
        <w:ind w:left="283"/>
      </w:pPr>
      <w:r>
        <w:rPr>
          <w:b/>
          <w:sz w:val="24"/>
        </w:rPr>
        <w:t>○ 2) 민간위탁 (사회복지법인 또는 비영리법인)</w:t>
      </w:r>
      <w:r>
        <w:rPr>
          <w:sz w:val="24"/>
        </w:rPr>
        <w:t xml:space="preserve"> — 가평군 노인복지관 조례: 5년 단위 위탁, 재위탁 시 1회 연장 가능</w:t>
      </w:r>
    </w:p>
    <w:p>
      <w:pPr>
        <w:ind w:left="567"/>
      </w:pPr>
      <w:r>
        <w:rPr>
          <w:i/>
          <w:color w:val="555555"/>
          <w:sz w:val="22"/>
        </w:rPr>
        <w:t xml:space="preserve">근거: </w:t>
      </w:r>
      <w:r>
        <w:rPr>
          <w:color w:val="555555"/>
          <w:sz w:val="22"/>
        </w:rPr>
        <w:t>경기도 가평군</w:t>
      </w:r>
    </w:p>
    <w:p>
      <w:pPr>
        <w:ind w:left="283"/>
      </w:pPr>
      <w:r>
        <w:rPr>
          <w:b/>
          <w:sz w:val="24"/>
        </w:rPr>
        <w:t>○ 3) 혼합형 (일부 직영, 일부 위탁)</w:t>
      </w:r>
      <w:r>
        <w:rPr>
          <w:sz w:val="24"/>
        </w:rPr>
        <w:t xml:space="preserve"> — 선택지 근거 부족 - 제공된 카드에 혼합형 사례 없음</w:t>
      </w:r>
    </w:p>
    <w:p>
      <w:pPr>
        <w:ind w:left="567"/>
      </w:pPr>
      <w:r>
        <w:rPr>
          <w:i/>
          <w:color w:val="555555"/>
          <w:sz w:val="22"/>
        </w:rPr>
        <w:t xml:space="preserve">근거: </w:t>
      </w:r>
      <w:r>
        <w:rPr>
          <w:color w:val="555555"/>
          <w:sz w:val="22"/>
        </w:rPr>
        <w:t>(근거 없음)</w:t>
      </w:r>
    </w:p>
    <w:p/>
    <w:p>
      <w:r>
        <w:rPr>
          <w:b/>
          <w:sz w:val="28"/>
        </w:rPr>
        <w:t>□ 3. 예산 지원 및 재원 조달 방식</w:t>
      </w:r>
    </w:p>
    <w:p>
      <w:pPr>
        <w:ind w:left="283"/>
      </w:pPr>
      <w:r>
        <w:rPr>
          <w:i/>
          <w:color w:val="555555"/>
          <w:sz w:val="22"/>
        </w:rPr>
        <w:t>※ 왜 결정이 필요한가 : 디지털 격차 해소 사업의 지속가능성은 명확한 예산 근거와 재원 확보 방안에 달려 있습니다. 매년 시행계획 수립 시 재원조달 계획 포함 여부가 중요합니다.</w:t>
      </w:r>
    </w:p>
    <w:p>
      <w:pPr>
        <w:ind w:left="283"/>
      </w:pPr>
      <w:r>
        <w:rPr>
          <w:b/>
          <w:sz w:val="24"/>
        </w:rPr>
        <w:t>○ 1) 도비 전액 지원</w:t>
      </w:r>
      <w:r>
        <w:rPr>
          <w:sz w:val="24"/>
        </w:rPr>
        <w:t xml:space="preserve"> — 선택지 근거 부족</w:t>
      </w:r>
    </w:p>
    <w:p>
      <w:pPr>
        <w:ind w:left="567"/>
      </w:pPr>
      <w:r>
        <w:rPr>
          <w:i/>
          <w:color w:val="555555"/>
          <w:sz w:val="22"/>
        </w:rPr>
        <w:t xml:space="preserve">근거: </w:t>
      </w:r>
      <w:r>
        <w:rPr>
          <w:color w:val="555555"/>
          <w:sz w:val="22"/>
        </w:rPr>
        <w:t>(근거 없음)</w:t>
      </w:r>
    </w:p>
    <w:p>
      <w:pPr>
        <w:ind w:left="283"/>
      </w:pPr>
      <w:r>
        <w:rPr>
          <w:b/>
          <w:sz w:val="24"/>
        </w:rPr>
        <w:t>○ 2) 시행계획에 재원조달 포함 의무화</w:t>
      </w:r>
      <w:r>
        <w:rPr>
          <w:sz w:val="24"/>
        </w:rPr>
        <w:t xml:space="preserve"> — 가평군 노인 보호 조례: 매년 시행계획에 재원조달 항목 포함</w:t>
      </w:r>
    </w:p>
    <w:p>
      <w:pPr>
        <w:ind w:left="567"/>
      </w:pPr>
      <w:r>
        <w:rPr>
          <w:i/>
          <w:color w:val="555555"/>
          <w:sz w:val="22"/>
        </w:rPr>
        <w:t xml:space="preserve">근거: </w:t>
      </w:r>
      <w:r>
        <w:rPr>
          <w:color w:val="555555"/>
          <w:sz w:val="22"/>
        </w:rPr>
        <w:t>경기도 가평군</w:t>
      </w:r>
    </w:p>
    <w:p>
      <w:pPr>
        <w:ind w:left="283"/>
      </w:pPr>
      <w:r>
        <w:rPr>
          <w:b/>
          <w:sz w:val="24"/>
        </w:rPr>
        <w:t>○ 3) 도비-시군비 매칭 방식</w:t>
      </w:r>
      <w:r>
        <w:rPr>
          <w:sz w:val="24"/>
        </w:rPr>
        <w:t xml:space="preserve"> — 선택지 근거 부족</w:t>
      </w:r>
    </w:p>
    <w:p>
      <w:pPr>
        <w:ind w:left="567"/>
      </w:pPr>
      <w:r>
        <w:rPr>
          <w:i/>
          <w:color w:val="555555"/>
          <w:sz w:val="22"/>
        </w:rPr>
        <w:t xml:space="preserve">근거: </w:t>
      </w:r>
      <w:r>
        <w:rPr>
          <w:color w:val="555555"/>
          <w:sz w:val="22"/>
        </w:rPr>
        <w:t>(근거 없음)</w:t>
      </w:r>
    </w:p>
    <w:p/>
    <w:p>
      <w:r>
        <w:rPr>
          <w:b/>
          <w:sz w:val="28"/>
        </w:rPr>
        <w:t>□ 4. 제공 서비스의 범위</w:t>
      </w:r>
    </w:p>
    <w:p>
      <w:pPr>
        <w:ind w:left="283"/>
      </w:pPr>
      <w:r>
        <w:rPr>
          <w:i/>
          <w:color w:val="555555"/>
          <w:sz w:val="22"/>
        </w:rPr>
        <w:t>※ 왜 결정이 필요한가 : 디지털 격차 해소를 위한 구체적 서비스 범위 설정이 필요합니다. 교육, 기기 지원, 상담 등 다양한 서비스 중 조례에서 명시할 항목을 선택해야 합니다.</w:t>
      </w:r>
    </w:p>
    <w:p>
      <w:pPr>
        <w:ind w:left="283"/>
      </w:pPr>
      <w:r>
        <w:rPr>
          <w:b/>
          <w:sz w:val="24"/>
        </w:rPr>
        <w:t>○ 1) 디지털 교육·교양강좌만 제공</w:t>
      </w:r>
      <w:r>
        <w:rPr>
          <w:sz w:val="24"/>
        </w:rPr>
        <w:t xml:space="preserve"> — 가평군 노인복지관의 교양강좌 사업 참조</w:t>
      </w:r>
    </w:p>
    <w:p>
      <w:pPr>
        <w:ind w:left="567"/>
      </w:pPr>
      <w:r>
        <w:rPr>
          <w:i/>
          <w:color w:val="555555"/>
          <w:sz w:val="22"/>
        </w:rPr>
        <w:t xml:space="preserve">근거: </w:t>
      </w:r>
      <w:r>
        <w:rPr>
          <w:color w:val="555555"/>
          <w:sz w:val="22"/>
        </w:rPr>
        <w:t>경기도 가평군</w:t>
      </w:r>
    </w:p>
    <w:p>
      <w:pPr>
        <w:ind w:left="283"/>
      </w:pPr>
      <w:r>
        <w:rPr>
          <w:b/>
          <w:sz w:val="24"/>
        </w:rPr>
        <w:t>○ 2) 교육 + 생활상담 + 정보제공 통합 서비스</w:t>
      </w:r>
      <w:r>
        <w:rPr>
          <w:sz w:val="24"/>
        </w:rPr>
        <w:t xml:space="preserve"> — 가평군 노인복지관의 생활상담 및 정보 제공 업무 참조</w:t>
      </w:r>
    </w:p>
    <w:p>
      <w:pPr>
        <w:ind w:left="567"/>
      </w:pPr>
      <w:r>
        <w:rPr>
          <w:i/>
          <w:color w:val="555555"/>
          <w:sz w:val="22"/>
        </w:rPr>
        <w:t xml:space="preserve">근거: </w:t>
      </w:r>
      <w:r>
        <w:rPr>
          <w:color w:val="555555"/>
          <w:sz w:val="22"/>
        </w:rPr>
        <w:t>경기도 가평군</w:t>
      </w:r>
    </w:p>
    <w:p>
      <w:pPr>
        <w:ind w:left="283"/>
      </w:pPr>
      <w:r>
        <w:rPr>
          <w:b/>
          <w:sz w:val="24"/>
        </w:rPr>
        <w:t>○ 3) 교육 + 디지털 기기 지원 + 고용지원(일자리)</w:t>
      </w:r>
      <w:r>
        <w:rPr>
          <w:sz w:val="24"/>
        </w:rPr>
        <w:t xml:space="preserve"> — 가평군 노인복지관의 고용지원(노인일자리사업) 참조</w:t>
      </w:r>
    </w:p>
    <w:p>
      <w:pPr>
        <w:ind w:left="567"/>
      </w:pPr>
      <w:r>
        <w:rPr>
          <w:i/>
          <w:color w:val="555555"/>
          <w:sz w:val="22"/>
        </w:rPr>
        <w:t xml:space="preserve">근거: </w:t>
      </w:r>
      <w:r>
        <w:rPr>
          <w:color w:val="555555"/>
          <w:sz w:val="22"/>
        </w:rPr>
        <w:t>경기도 가평군</w:t>
      </w:r>
    </w:p>
    <w:p/>
    <w:p>
      <w:r>
        <w:rPr>
          <w:b/>
          <w:sz w:val="28"/>
        </w:rPr>
        <w:t>□ 5. 자문위원회 설치 여부</w:t>
      </w:r>
    </w:p>
    <w:p>
      <w:pPr>
        <w:ind w:left="283"/>
      </w:pPr>
      <w:r>
        <w:rPr>
          <w:i/>
          <w:color w:val="555555"/>
          <w:sz w:val="22"/>
        </w:rPr>
        <w:t>※ 왜 결정이 필요한가 : 사업 추진 방향과 정책 결정에 대한 자문 체계 구축이 필요한지 결정해야 합니다. 위원회 설치는 거버�스 구조와 예산에 영향을 미칩니다.</w:t>
      </w:r>
    </w:p>
    <w:p>
      <w:pPr>
        <w:ind w:left="283"/>
      </w:pPr>
      <w:r>
        <w:rPr>
          <w:b/>
          <w:sz w:val="24"/>
        </w:rPr>
        <w:t>○ 1) 위원회 설치 (10명 이내, 당연직·위촉직 혼합)</w:t>
      </w:r>
      <w:r>
        <w:rPr>
          <w:sz w:val="24"/>
        </w:rPr>
        <w:t xml:space="preserve"> — 가평군 노인학대예방위원회 구조 참조 (부군수 위원장)</w:t>
      </w:r>
    </w:p>
    <w:p>
      <w:pPr>
        <w:ind w:left="567"/>
      </w:pPr>
      <w:r>
        <w:rPr>
          <w:i/>
          <w:color w:val="555555"/>
          <w:sz w:val="22"/>
        </w:rPr>
        <w:t xml:space="preserve">근거: </w:t>
      </w:r>
      <w:r>
        <w:rPr>
          <w:color w:val="555555"/>
          <w:sz w:val="22"/>
        </w:rPr>
        <w:t>경기도 가평군</w:t>
      </w:r>
    </w:p>
    <w:p>
      <w:pPr>
        <w:ind w:left="283"/>
      </w:pPr>
      <w:r>
        <w:rPr>
          <w:b/>
          <w:sz w:val="24"/>
        </w:rPr>
        <w:t>○ 2) 위원회 미설치 (도지사 직접 운영)</w:t>
      </w:r>
      <w:r>
        <w:rPr>
          <w:sz w:val="24"/>
        </w:rPr>
        <w:t xml:space="preserve"> — 선택지 근거 부족</w:t>
      </w:r>
    </w:p>
    <w:p>
      <w:pPr>
        <w:ind w:left="567"/>
      </w:pPr>
      <w:r>
        <w:rPr>
          <w:i/>
          <w:color w:val="555555"/>
          <w:sz w:val="22"/>
        </w:rPr>
        <w:t xml:space="preserve">근거: </w:t>
      </w:r>
      <w:r>
        <w:rPr>
          <w:color w:val="555555"/>
          <w:sz w:val="22"/>
        </w:rPr>
        <w:t>(근거 없음)</w:t>
      </w:r>
    </w:p>
    <w:p/>
    <w:p>
      <w:r>
        <w:rPr>
          <w:b/>
          <w:sz w:val="28"/>
        </w:rPr>
        <w:t>□ 6. 관련 기관 협력체계 구축 의무</w:t>
      </w:r>
    </w:p>
    <w:p>
      <w:pPr>
        <w:ind w:left="283"/>
      </w:pPr>
      <w:r>
        <w:rPr>
          <w:i/>
          <w:color w:val="555555"/>
          <w:sz w:val="22"/>
        </w:rPr>
        <w:t>※ 왜 결정이 필요한가 : 디지털 격차 해소는 교육기관, 복지기관, 통신사 등 다양한 주체의 협력이 필요합니다. 조례에서 협력 의무를 명시할지 결정해야 합니다.</w:t>
      </w:r>
    </w:p>
    <w:p>
      <w:pPr>
        <w:ind w:left="283"/>
      </w:pPr>
      <w:r>
        <w:rPr>
          <w:b/>
          <w:sz w:val="24"/>
        </w:rPr>
        <w:t>○ 1) 협력체계 구축 의무 명시</w:t>
      </w:r>
      <w:r>
        <w:rPr>
          <w:sz w:val="24"/>
        </w:rPr>
        <w:t xml:space="preserve"> — 가평군 노인 보호 조례: 노인보호전문기관 등과 효율적 협력 추진 의무</w:t>
      </w:r>
    </w:p>
    <w:p>
      <w:pPr>
        <w:ind w:left="567"/>
      </w:pPr>
      <w:r>
        <w:rPr>
          <w:i/>
          <w:color w:val="555555"/>
          <w:sz w:val="22"/>
        </w:rPr>
        <w:t xml:space="preserve">근거: </w:t>
      </w:r>
      <w:r>
        <w:rPr>
          <w:color w:val="555555"/>
          <w:sz w:val="22"/>
        </w:rPr>
        <w:t>경기도 가평군</w:t>
      </w:r>
    </w:p>
    <w:p>
      <w:pPr>
        <w:ind w:left="283"/>
      </w:pPr>
      <w:r>
        <w:rPr>
          <w:b/>
          <w:sz w:val="24"/>
        </w:rPr>
        <w:t>○ 2) 협력체계 조항 미포함 (도 단독 추진)</w:t>
      </w:r>
      <w:r>
        <w:rPr>
          <w:sz w:val="24"/>
        </w:rPr>
        <w:t xml:space="preserve"> — 선택지 근거 부족</w:t>
      </w:r>
    </w:p>
    <w:p>
      <w:pPr>
        <w:ind w:left="567"/>
      </w:pPr>
      <w:r>
        <w:rPr>
          <w:i/>
          <w:color w:val="555555"/>
          <w:sz w:val="22"/>
        </w:rPr>
        <w:t xml:space="preserve">근거: </w:t>
      </w:r>
      <w:r>
        <w:rPr>
          <w:color w:val="555555"/>
          <w:sz w:val="22"/>
        </w:rPr>
        <w:t>(근거 없음)</w:t>
      </w:r>
    </w:p>
    <w:p/>
    <w:p>
      <w:r>
        <w:rPr>
          <w:b/>
          <w:sz w:val="28"/>
        </w:rPr>
        <w:t>□ 7. 연간 종합계획 수립 의무</w:t>
      </w:r>
    </w:p>
    <w:p>
      <w:pPr>
        <w:ind w:left="283"/>
      </w:pPr>
      <w:r>
        <w:rPr>
          <w:i/>
          <w:color w:val="555555"/>
          <w:sz w:val="22"/>
        </w:rPr>
        <w:t>※ 왜 결정이 필요한가 : 체계적이고 지속가능한 사업 추진을 위해 매년 종합계획 수립을 의무화할지 결정해야 합니다. 계획에 포함할 내용(예방·교육·홍보·재원 등)의 범위도 중요합니다.</w:t>
      </w:r>
    </w:p>
    <w:p>
      <w:pPr>
        <w:ind w:left="283"/>
      </w:pPr>
      <w:r>
        <w:rPr>
          <w:b/>
          <w:sz w:val="24"/>
        </w:rPr>
        <w:t>○ 1) 연간 종합계획 수립 의무화 (사업별 지원대상·방법·범위 포함)</w:t>
      </w:r>
      <w:r>
        <w:rPr>
          <w:sz w:val="24"/>
        </w:rPr>
        <w:t xml:space="preserve"> — 가평군 노인예우 조례 및 노인 보호 조례의 연간 시행계획 수립 의무</w:t>
      </w:r>
    </w:p>
    <w:p>
      <w:pPr>
        <w:ind w:left="567"/>
      </w:pPr>
      <w:r>
        <w:rPr>
          <w:i/>
          <w:color w:val="555555"/>
          <w:sz w:val="22"/>
        </w:rPr>
        <w:t xml:space="preserve">근거: </w:t>
      </w:r>
      <w:r>
        <w:rPr>
          <w:color w:val="555555"/>
          <w:sz w:val="22"/>
        </w:rPr>
        <w:t>경기도 가평군</w:t>
      </w:r>
    </w:p>
    <w:p>
      <w:pPr>
        <w:ind w:left="283"/>
      </w:pPr>
      <w:r>
        <w:rPr>
          <w:b/>
          <w:sz w:val="24"/>
        </w:rPr>
        <w:t>○ 2) 계획 수립 의무 미포함 (연도별 탄력적 운영)</w:t>
      </w:r>
      <w:r>
        <w:rPr>
          <w:sz w:val="24"/>
        </w:rPr>
        <w:t xml:space="preserve"> — 선택지 근거 부족</w:t>
      </w:r>
    </w:p>
    <w:p>
      <w:pPr>
        <w:ind w:left="567"/>
      </w:pPr>
      <w:r>
        <w:rPr>
          <w:i/>
          <w:color w:val="555555"/>
          <w:sz w:val="22"/>
        </w:rPr>
        <w:t xml:space="preserve">근거: </w:t>
      </w:r>
      <w:r>
        <w:rPr>
          <w:color w:val="555555"/>
          <w:sz w:val="22"/>
        </w:rPr>
        <w:t>(근거 없음)</w:t>
      </w:r>
    </w:p>
    <w:p/>
    <w:p>
      <w:r>
        <w:rPr>
          <w:i/>
          <w:sz w:val="20"/>
        </w:rPr>
        <w:t>⚠️ 본 결정 카드는 LLM 보조 분석 결과입니다. 정치적·정책적 판단은 사용자가 직접 결정해야 하며, 선택지에 없는 옵션도 자유롭게 추가 가능합니다.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