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5A606A"/>
          <w:sz w:val="18"/>
          <w:rFonts w:ascii="맑은 고딕" w:hAnsi="맑은 고딕" w:eastAsia="맑은 고딕" w:cs="맑은 고딕"/>
        </w:rPr>
        <w:t>AI Infrastructure &amp; Data 2026 · Closing Keynote 2 · 세션 정리</w:t>
      </w:r>
    </w:p>
    <w:p>
      <w:pPr>
        <w:spacing w:before="0" w:after="80"/>
      </w:pPr>
      <w:r>
        <w:rPr>
          <w:b/>
          <w:i w:val="0"/>
          <w:color w:val="1F3B73"/>
          <w:sz w:val="44"/>
          <w:rFonts w:ascii="맑은 고딕" w:hAnsi="맑은 고딕" w:eastAsia="맑은 고딕" w:cs="맑은 고딕"/>
        </w:rPr>
        <w:t>AI 학습데이터의 국내외 분쟁 동향과 추적가능 컴플라이언스</w:t>
      </w:r>
    </w:p>
    <w:p>
      <w:pPr>
        <w:spacing w:before="0" w:after="20"/>
      </w:pPr>
      <w:r>
        <w:rPr>
          <w:b w:val="0"/>
          <w:i w:val="0"/>
          <w:color w:val="5A606A"/>
          <w:sz w:val="23"/>
          <w:rFonts w:ascii="맑은 고딕" w:hAnsi="맑은 고딕" w:eastAsia="맑은 고딕" w:cs="맑은 고딕"/>
        </w:rPr>
        <w:t>AI-BOM 기반 데이터 공급망 관리</w:t>
      </w:r>
    </w:p>
    <w:p>
      <w:pPr>
        <w:spacing w:before="0" w:after="200"/>
      </w:pPr>
      <w:r>
        <w:rPr>
          <w:b w:val="0"/>
          <w:i w:val="0"/>
          <w:color w:val="5A606A"/>
          <w:sz w:val="23"/>
          <w:rFonts w:ascii="맑은 고딕" w:hAnsi="맑은 고딕" w:eastAsia="맑은 고딕" w:cs="맑은 고딕"/>
        </w:rPr>
        <w:t>We must open up not just the technology itself, but the hidden risks within it.</w:t>
      </w:r>
    </w:p>
    <w:p>
      <w:pPr>
        <w:spacing w:before="80" w:after="160"/>
        <w:pBdr>
          <w:bottom w:val="single" w:sz="6" w:space="1" w:color="C6CCD8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782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행사</w:t>
            </w:r>
          </w:p>
        </w:tc>
        <w:tc>
          <w:tcPr>
            <w:tcW w:type="dxa" w:w="782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AI Infrastructure &amp; Data 2026 (CIO Korea / ITWORLD)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일시·장소</w:t>
            </w:r>
          </w:p>
        </w:tc>
        <w:tc>
          <w:tcPr>
            <w:tcW w:type="dxa" w:w="782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2026년 9월 2일(수) · 서울 드래곤시티 그랜드볼룸 한라(3F)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발표</w:t>
            </w:r>
          </w:p>
        </w:tc>
        <w:tc>
          <w:tcPr>
            <w:tcW w:type="dxa" w:w="782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조정원 — Legal &amp; Compliance Team Lead, LG AI연구원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첨부 자료</w:t>
            </w:r>
          </w:p>
        </w:tc>
        <w:tc>
          <w:tcPr>
            <w:tcW w:type="dxa" w:w="782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Closing_Keynote_2_LG_AI.pdf (29페이지)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9"/>
                <w:rFonts w:ascii="맑은 고딕" w:hAnsi="맑은 고딕" w:eastAsia="맑은 고딕" w:cs="맑은 고딕"/>
              </w:rPr>
              <w:t>정리 범위</w:t>
            </w:r>
          </w:p>
        </w:tc>
        <w:tc>
          <w:tcPr>
            <w:tcW w:type="dxa" w:w="782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9"/>
                <w:rFonts w:ascii="맑은 고딕" w:hAnsi="맑은 고딕" w:eastAsia="맑은 고딕" w:cs="맑은 고딕"/>
              </w:rPr>
              <w:t>배포 슬라이드 + 발표 현장 녹취 + 외부 웹 리서치(2026-09-07 기준)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i w:val="0"/>
          <w:color w:val="1F3B73"/>
          <w:sz w:val="22"/>
          <w:rFonts w:ascii="맑은 고딕" w:hAnsi="맑은 고딕" w:eastAsia="맑은 고딕" w:cs="맑은 고딕"/>
        </w:rPr>
        <w:t>한 줄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5"/>
                <w:rFonts w:ascii="맑은 고딕" w:hAnsi="맑은 고딕" w:eastAsia="맑은 고딕" w:cs="맑은 고딕"/>
              </w:rPr>
              <w:t>신뢰는 한 번도 맹목적인 믿음이었던 적이 없습니다. 언제나 「보이는가」의 문제였습니다.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SBOM이 코드의 투명성을 풀었듯, AI-BOM은 학습 데이터의 계보를 풀어야 한다. 그런데 AI 구성요소 세 가지(베이스 모델 아키텍처 / 파라미터·가중치 / 학습 데이터셋) 중 두 가지는 코드에 아무 흔적도 남기지 않는다.</w:t>
      </w:r>
    </w:p>
    <w:p>
      <w:pPr>
        <w:spacing w:before="80" w:after="160"/>
        <w:pBdr>
          <w:bottom w:val="single" w:sz="6" w:space="1" w:color="C6CCD8"/>
        </w:pBdr>
      </w:pPr>
    </w:p>
    <w:p>
      <w:pPr>
        <w:spacing w:before="0" w:after="80"/>
      </w:pPr>
      <w:r>
        <w:rPr>
          <w:b/>
          <w:i w:val="0"/>
          <w:color w:val="1F3B73"/>
          <w:sz w:val="20"/>
          <w:rFonts w:ascii="맑은 고딕" w:hAnsi="맑은 고딕" w:eastAsia="맑은 고딕" w:cs="맑은 고딕"/>
        </w:rPr>
        <w:t xml:space="preserve">이 문서를 읽는 법  </w:t>
      </w:r>
      <w:r>
        <w:rPr>
          <w:b w:val="0"/>
          <w:i w:val="0"/>
          <w:sz w:val="19"/>
          <w:rFonts w:ascii="맑은 고딕" w:hAnsi="맑은 고딕" w:eastAsia="맑은 고딕" w:cs="맑은 고딕"/>
        </w:rPr>
        <w:t xml:space="preserve">1~5장은 발표 내용, 6장은 외부 근거로 붙인 맥락과 팩트체크, 7장은 우리 팀 체크리스트와 규제 데드라인, 8장은 인용 시 주의사항입니다. </w:t>
      </w:r>
      <w:r>
        <w:rPr>
          <w:b/>
          <w:i w:val="0"/>
          <w:color w:val="B0302E"/>
          <w:sz w:val="19"/>
          <w:rFonts w:ascii="맑은 고딕" w:hAnsi="맑은 고딕" w:eastAsia="맑은 고딕" w:cs="맑은 고딕"/>
        </w:rPr>
        <w:t>판례·규제 일정은 모두 1차 자료로 교차 검증했고, 검증하지 못한 항목은 8장에 따로 적었습니다.</w:t>
      </w:r>
    </w:p>
    <w:p>
      <w:r>
        <w:br w:type="page"/>
      </w:r>
    </w:p>
    <w:p>
      <w:pPr>
        <w:pStyle w:val="Heading1"/>
      </w:pPr>
      <w:r>
        <w:t>0. 발표 조직 — 법무팀이 만든 제품 이야기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 w:val="0"/>
                <w:sz w:val="20"/>
                <w:rFonts w:ascii="맑은 고딕" w:hAnsi="맑은 고딕" w:eastAsia="맑은 고딕" w:cs="맑은 고딕"/>
              </w:rPr>
              <w:t>LG AI연구원은 2020년 12월 설립된 LG그룹의 AI 싱크탱크. Legal &amp; Compliance 조직은 법률·규제 이슈에 대응하는 데 그치지 않고, 그 과정에서 축적한 기준과 노하우를 AI 기반 솔루션으로 구현해 외부로 확장하는 「Scalable Compliance」를 실행한다.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→ 이 한 문단이 발표 전체의 성격을 규정한다. 법무 리스크 브리핑이 아니라, 법무팀이 만든 제품에 대한 발표다.</w:t>
      </w:r>
    </w:p>
    <w:p>
      <w:pPr>
        <w:pStyle w:val="Heading2"/>
      </w:pPr>
      <w:r>
        <w:t>0-1. 지난 5년의 모델, 그리고 아직 못 푼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모델</w:t>
            </w:r>
          </w:p>
        </w:tc>
        <w:tc>
          <w:tcPr>
            <w:tcW w:type="dxa" w:w="141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시점</w:t>
            </w:r>
          </w:p>
        </w:tc>
        <w:tc>
          <w:tcPr>
            <w:tcW w:type="dxa" w:w="6236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특징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EXAONE 1.0</w:t>
            </w:r>
          </w:p>
        </w:tc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2021.12</w:t>
            </w:r>
          </w:p>
        </w:tc>
        <w:tc>
          <w:tcPr>
            <w:tcW w:type="dxa" w:w="6236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한국어와 영어를 함께 이해하는 이중언어 모델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EXAONE 2.0</w:t>
            </w:r>
          </w:p>
        </w:tc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2023.7</w:t>
            </w:r>
          </w:p>
        </w:tc>
        <w:tc>
          <w:tcPr>
            <w:tcW w:type="dxa" w:w="6236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전문성·신뢰성·비용 효율성을 크게 높인 모델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EXAONE 3.0</w:t>
            </w:r>
          </w:p>
        </w:tc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2024.8</w:t>
            </w:r>
          </w:p>
        </w:tc>
        <w:tc>
          <w:tcPr>
            <w:tcW w:type="dxa" w:w="6236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7.8B 인스트럭션 튜닝 언어모델을 일반에 공개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EXAONE 3.5</w:t>
            </w:r>
          </w:p>
        </w:tc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2024.12</w:t>
            </w:r>
          </w:p>
        </w:tc>
        <w:tc>
          <w:tcPr>
            <w:tcW w:type="dxa" w:w="6236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긴 문맥 이해와 지시 수행 능력이 뛰어난 모델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EXAONE Deep</w:t>
            </w:r>
          </w:p>
        </w:tc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2025.3</w:t>
            </w:r>
          </w:p>
        </w:tc>
        <w:tc>
          <w:tcPr>
            <w:tcW w:type="dxa" w:w="6236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수학·과학·코딩에서 강력한 추론 능력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EXAONE 4.0</w:t>
            </w:r>
          </w:p>
        </w:tc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—</w:t>
            </w:r>
          </w:p>
        </w:tc>
        <w:tc>
          <w:tcPr>
            <w:tcW w:type="dxa" w:w="6236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언어와 추론을 통합한 하이브리드 AI 모델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EXAONE 4.5</w:t>
            </w:r>
          </w:p>
        </w:tc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2026</w:t>
            </w:r>
          </w:p>
        </w:tc>
        <w:tc>
          <w:tcPr>
            <w:tcW w:type="dxa" w:w="6236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LG 최초의 오픈 웨이트 비전-언어(VLM) 모델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K-EXAONE 2.0</w:t>
            </w:r>
          </w:p>
        </w:tc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2025.8</w:t>
            </w:r>
          </w:p>
        </w:tc>
        <w:tc>
          <w:tcPr>
            <w:tcW w:type="dxa" w:w="6236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750B 프론티어급 멀티모달 · Apache 2.0 오픈소스 · 독자 기술로 구축한 대한민국 대표 AI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추가 성과 — Epoch AI의 Notable AI Models 등재, 대한민국 독자 파운데이션 모델 1차 평가 종합 1위 / 2차 평가 Top 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2"/>
                <w:rFonts w:ascii="맑은 고딕" w:hAnsi="맑은 고딕" w:eastAsia="맑은 고딕" w:cs="맑은 고딕"/>
              </w:rPr>
              <w:t>모델을 만드는 법은 알지만, 그 투명성을 증명하는 법은 찾아 나가고 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1. 왜 AI-BOM인가 — 공급망이 단절되지 않게 어떻게 지킬 것인가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시대</w:t>
            </w:r>
          </w:p>
        </w:tc>
        <w:tc>
          <w:tcPr>
            <w:tcW w:type="dxa" w:w="28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명세서</w:t>
            </w:r>
          </w:p>
        </w:tc>
        <w:tc>
          <w:tcPr>
            <w:tcW w:type="dxa" w:w="481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무엇을 보장하나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하드웨어의 시대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부품 명세서 (BOM)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제조 공급망 투명성 + 제품 구성요소 추적성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소프트웨어의 시대</w:t>
            </w:r>
          </w:p>
        </w:tc>
        <w:tc>
          <w:tcPr>
            <w:tcW w:type="dxa" w:w="28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소프트웨어 명세서 (SBOM)</w:t>
            </w:r>
          </w:p>
        </w:tc>
        <w:tc>
          <w:tcPr>
            <w:tcW w:type="dxa" w:w="481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소프트웨어 공급망 투명성 + 의존성·라이선스 추적성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인공지능의 시대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AI 명세서 (AI-BOM)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AI의 투명성은 어떻게 추적할 것인가?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 w:val="0"/>
                <w:sz w:val="20"/>
                <w:rFonts w:ascii="맑은 고딕" w:hAnsi="맑은 고딕" w:eastAsia="맑은 고딕" w:cs="맑은 고딕"/>
              </w:rPr>
              <w:t>블랙박스인 AI의 투명성은 어떻게 보장할 수 있을까요? 지금의 SBOM 도구로 그 상자를 열 수 있을까요?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EU AI Act, 한국 AI 기본법 등은 공통적으로 「AI를 어떻게 만들고 무슨 데이터를 썼는지 기록하라」고 요구한다. 왜 기록하라고 했는가를 끝까지 따라가면 이 질문에 닿는다: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B0302E"/>
              <w:top w:val="single" w:sz="4" w:space="0" w:color="FDF3E7"/>
              <w:bottom w:val="single" w:sz="4" w:space="0" w:color="FDF3E7"/>
              <w:right w:val="single" w:sz="4" w:space="0" w:color="FDF3E7"/>
            </w:tcBorders>
            <w:shd w:val="clear" w:color="auto" w:fill="FDF3E7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AI가 로봇에 탑재되어 사람에게 위해를 가했을 때, 대체 무엇 때문에 이 문제가 발생했는가?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한국은 2026년 1월 AI 기본법 발효. 발효 이후 각 기업에서 — LG 그룹 내부에서도 — 상당한 혼란이 있었고, 그 해결책으로 AI-BOM을 만들고 있다.</w:t>
      </w:r>
    </w:p>
    <w:p>
      <w:pPr>
        <w:pStyle w:val="Heading1"/>
      </w:pPr>
      <w:r>
        <w:t>2. 왜 SBOM 도구로는 안 되는가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1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구분</w:t>
            </w:r>
          </w:p>
        </w:tc>
        <w:tc>
          <w:tcPr>
            <w:tcW w:type="dxa" w:w="396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소프트웨어</w:t>
            </w:r>
          </w:p>
        </w:tc>
        <w:tc>
          <w:tcPr>
            <w:tcW w:type="dxa" w:w="425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AI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동작 방식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개발자가 정의한 로직 그대로 동작 (입력 → 출력)</w:t>
            </w:r>
          </w:p>
        </w:tc>
        <w:tc>
          <w:tcPr>
            <w:tcW w:type="dxa" w:w="425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학습한 패턴을 바탕으로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확률적으로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결과 생성 (입력 → 출력 1/2/3)</w:t>
            </w:r>
          </w:p>
        </w:tc>
      </w:tr>
      <w:tr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스캔 결과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`source_code.py`의 `import flask` → 스캐너 탐지: flask 3.1.0, BSD-3-Clause</w:t>
            </w:r>
          </w:p>
        </w:tc>
        <w:tc>
          <w:tcPr>
            <w:tcW w:type="dxa" w:w="425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`train.py`의 `load_model('weights.h5')`, `load_dataset("./corpus/")` →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스캐너에는 파일 이름만 보인다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결론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위험이 특정 코드 라인에 분명히 드러남 →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소스코드로 추적 가능</w:t>
            </w:r>
          </w:p>
        </w:tc>
        <w:tc>
          <w:tcPr>
            <w:tcW w:type="dxa" w:w="425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어떤 코드 한 줄로도 위험을 알아낼 수 없음 →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소스코드로는 추적 불가</w:t>
            </w:r>
          </w:p>
        </w:tc>
      </w:tr>
    </w:tbl>
    <w:p>
      <w:pPr>
        <w:spacing w:after="40"/>
      </w:pPr>
    </w:p>
    <w:p>
      <w:pPr>
        <w:pStyle w:val="Heading2"/>
      </w:pPr>
      <w:r>
        <w:t>2-1. AI-BOM이 반드시 해결해야 할 세 가지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4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구성요소</w:t>
            </w:r>
          </w:p>
        </w:tc>
        <w:tc>
          <w:tcPr>
            <w:tcW w:type="dxa" w:w="6236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SBOM 스캐너로 잡히나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베이스 모델 아키텍처</w:t>
            </w:r>
          </w:p>
        </w:tc>
        <w:tc>
          <w:tcPr>
            <w:tcW w:type="dxa" w:w="6236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가능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SBOM 스캐너가 찾아낼 수 있는 유일한 항목</w:t>
            </w:r>
          </w:p>
        </w:tc>
      </w:tr>
      <w:tr>
        <w:tc>
          <w:tcPr>
            <w:tcW w:type="dxa" w:w="34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모델 파라미터 및 가중치</w:t>
            </w:r>
          </w:p>
        </w:tc>
        <w:tc>
          <w:tcPr>
            <w:tcW w:type="dxa" w:w="6236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불가능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학습 데이터셋</w:t>
            </w:r>
          </w:p>
        </w:tc>
        <w:tc>
          <w:tcPr>
            <w:tcW w:type="dxa" w:w="6236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불가능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세 가지 중 두 가지는 코드에 아무 흔적도 남기지 않습니다. 그럼에도 AI BOM은 이를 기록해야 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이미 한 번 풀어낸 문제, 구성요소만 바뀌었다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질문</w:t>
            </w:r>
          </w:p>
        </w:tc>
        <w:tc>
          <w:tcPr>
            <w:tcW w:type="dxa" w:w="368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소프트웨어 (SBOM)</w:t>
            </w:r>
          </w:p>
        </w:tc>
        <w:tc>
          <w:tcPr>
            <w:tcW w:type="dxa" w:w="368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AI (AI-BOM)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구성요소는 무엇인가</w:t>
            </w:r>
          </w:p>
        </w:tc>
        <w:tc>
          <w:tcPr>
            <w:tcW w:type="dxa" w:w="368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패키지, 라이브러리, 버전</w:t>
            </w:r>
          </w:p>
        </w:tc>
        <w:tc>
          <w:tcPr>
            <w:tcW w:type="dxa" w:w="368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데이터셋, 모델, 가중치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누가 선언하는가</w:t>
            </w:r>
          </w:p>
        </w:tc>
        <w:tc>
          <w:tcPr>
            <w:tcW w:type="dxa" w:w="368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빌드 시스템이 자동으로 선언</w:t>
            </w:r>
          </w:p>
        </w:tc>
        <w:tc>
          <w:tcPr>
            <w:tcW w:type="dxa" w:w="368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아무도 하지 않는다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얼마나 깊은가</w:t>
            </w:r>
          </w:p>
        </w:tc>
        <w:tc>
          <w:tcPr>
            <w:tcW w:type="dxa" w:w="368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해석 가능하고, 대체로 깊지 않다</w:t>
            </w:r>
          </w:p>
        </w:tc>
        <w:tc>
          <w:tcPr>
            <w:tcW w:type="dxa" w:w="368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끝없이 깊고, 해석이 어렵다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무슨 질문에 답하는가</w:t>
            </w:r>
          </w:p>
        </w:tc>
        <w:tc>
          <w:tcPr>
            <w:tcW w:type="dxa" w:w="368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 바이너리 안에 무엇이 있는가?</w:t>
            </w:r>
          </w:p>
        </w:tc>
        <w:tc>
          <w:tcPr>
            <w:tcW w:type="dxa" w:w="368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 모델 안에 무엇이 있는가?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표준</w:t>
            </w:r>
          </w:p>
        </w:tc>
        <w:tc>
          <w:tcPr>
            <w:tcW w:type="dxa" w:w="3685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SPDX — 리눅스재단 · ISO/IEC 5962</w:t>
            </w:r>
          </w:p>
        </w:tc>
        <w:tc>
          <w:tcPr>
            <w:tcW w:type="dxa" w:w="368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SPDX 3.0 &amp; OpenChain AI System BOM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리눅스재단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명세서에는 이미 그 자리가 마련되어 있습니다. 그 자리를 채울 방법이 없을 뿐입니다.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투명성은 「연결」 속에 있다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#</w:t>
            </w:r>
          </w:p>
        </w:tc>
        <w:tc>
          <w:tcPr>
            <w:tcW w:type="dxa" w:w="215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6803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질문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1</w:t>
            </w:r>
          </w:p>
        </w:tc>
        <w:tc>
          <w:tcPr>
            <w:tcW w:type="dxa" w:w="215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모델 출처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 모델을 처음부터 직접 만들었는가? 사전학습된 파운데이션 모델을 파인튜닝하거나 파생된 것인가?</w:t>
            </w:r>
          </w:p>
        </w:tc>
      </w:tr>
      <w:tr>
        <w:tc>
          <w:tcPr>
            <w:tcW w:type="dxa" w:w="680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</w:t>
            </w:r>
          </w:p>
        </w:tc>
        <w:tc>
          <w:tcPr>
            <w:tcW w:type="dxa" w:w="215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학습 데이터 계보</w:t>
            </w:r>
          </w:p>
        </w:tc>
        <w:tc>
          <w:tcPr>
            <w:tcW w:type="dxa" w:w="6803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학습에 정확히 어떤 데이터셋을 사용했는가?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3</w:t>
            </w:r>
          </w:p>
        </w:tc>
        <w:tc>
          <w:tcPr>
            <w:tcW w:type="dxa" w:w="215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데이터셋 출처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이 데이터는 어디서 비롯되었고,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적법하게 확보되었는가?</w:t>
            </w:r>
          </w:p>
        </w:tc>
      </w:tr>
    </w:tbl>
    <w:p>
      <w:pPr>
        <w:spacing w:after="40"/>
      </w:pPr>
    </w:p>
    <w:p>
      <w:pPr>
        <w:spacing w:before="0" w:after="120"/>
        <w:jc w:val="center"/>
      </w:pPr>
      <w:r>
        <w:rPr>
          <w:b/>
          <w:i w:val="0"/>
          <w:sz w:val="20"/>
          <w:rFonts w:ascii="맑은 고딕" w:hAnsi="맑은 고딕" w:eastAsia="맑은 고딕" w:cs="맑은 고딕"/>
        </w:rPr>
        <w:t>베이스 모델 알고리즘 → 모델 파라미터·가중치 → 학습 데이터셋 → 데이터 출처(복수)</w:t>
      </w:r>
    </w:p>
    <w:p>
      <w:pPr>
        <w:pStyle w:val="Heading2"/>
      </w:pPr>
      <w:r>
        <w:t>3-1. 모델은 형태를 남기지만, 데이터는 남기지 않는다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25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계보</w:t>
            </w:r>
          </w:p>
        </w:tc>
        <w:tc>
          <w:tcPr>
            <w:tcW w:type="dxa" w:w="5386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상태</w:t>
            </w:r>
          </w:p>
        </w:tc>
      </w:tr>
      <w:tr>
        <w:tc>
          <w:tcPr>
            <w:tcW w:type="dxa" w:w="425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모델 계보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「이 모델은 저 모델에서 파생되었다」</w:t>
            </w:r>
          </w:p>
        </w:tc>
        <w:tc>
          <w:tcPr>
            <w:tcW w:type="dxa" w:w="5386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표현 가능하고, 구조화되며,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기록으로 남는다</w:t>
            </w:r>
          </w:p>
        </w:tc>
      </w:tr>
      <w:tr>
        <w:tc>
          <w:tcPr>
            <w:tcW w:type="dxa" w:w="425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데이터셋 계보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「이 데이터셋은… 어디서 왔는가?」</w:t>
            </w:r>
          </w:p>
        </w:tc>
        <w:tc>
          <w:tcPr>
            <w:tcW w:type="dxa" w:w="5386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선택 항목.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그래서 요구되지 않고, 채워지지 않고, 존재하지 않는다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모델도 중요합니다. 하지만 우리가 여전히 볼 수 없는 쪽은 데이터입니다.</w:t>
            </w:r>
          </w:p>
        </w:tc>
      </w:tr>
    </w:tbl>
    <w:p>
      <w:pPr>
        <w:spacing w:after="40"/>
      </w:pPr>
    </w:p>
    <w:p>
      <w:pPr>
        <w:pStyle w:val="Heading1"/>
      </w:pPr>
      <w:r>
        <w:t>4. 법적 리스크는 이미 현실이다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현재 시점 기준 전 세계 약 130~150건의 AI 학습데이터 관련 분쟁이 존재하고 100건 이상이 진행 중이라는 것이 발표자의 집계다. 쟁점은 ① 저작권 침해가 있었는가 ② 개인정보보호법 침해가 있었는가로 모인다. 미국은 연방 차원의 통일된 개인정보보호법이 없어, 대부분 원저작물의 권리자가 AI 회사를 상대로 손해배상 청구 + 금지명령을 구하는 구조로 간다.</w:t>
      </w:r>
    </w:p>
    <w:p>
      <w:pPr>
        <w:pStyle w:val="Heading2"/>
      </w:pPr>
      <w:r>
        <w:t>4-1. 학습데이터 관련 주요 판례 (2024~)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96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사건</w:t>
            </w:r>
          </w:p>
        </w:tc>
        <w:tc>
          <w:tcPr>
            <w:tcW w:type="dxa" w:w="113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국가</w:t>
            </w:r>
          </w:p>
        </w:tc>
        <w:tc>
          <w:tcPr>
            <w:tcW w:type="dxa" w:w="90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년도</w:t>
            </w:r>
          </w:p>
        </w:tc>
        <w:tc>
          <w:tcPr>
            <w:tcW w:type="dxa" w:w="136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승소</w:t>
            </w:r>
          </w:p>
        </w:tc>
        <w:tc>
          <w:tcPr>
            <w:tcW w:type="dxa" w:w="226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법적 배경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Li v. Liu</w:t>
            </w:r>
          </w:p>
        </w:tc>
        <w:tc>
          <w:tcPr>
            <w:tcW w:type="dxa" w:w="113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중국</w:t>
            </w:r>
          </w:p>
        </w:tc>
        <w:tc>
          <w:tcPr>
            <w:tcW w:type="dxa" w:w="90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2024</w:t>
            </w:r>
          </w:p>
        </w:tc>
        <w:tc>
          <w:tcPr>
            <w:tcW w:type="dxa" w:w="136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원고</w:t>
            </w:r>
          </w:p>
        </w:tc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저작권법</w:t>
            </w:r>
          </w:p>
        </w:tc>
      </w:tr>
      <w:tr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Sin Changhwa Cultural Development LLC v. AI Company</w:t>
            </w:r>
          </w:p>
        </w:tc>
        <w:tc>
          <w:tcPr>
            <w:tcW w:type="dxa" w:w="113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중국</w:t>
            </w:r>
          </w:p>
        </w:tc>
        <w:tc>
          <w:tcPr>
            <w:tcW w:type="dxa" w:w="90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2024</w:t>
            </w:r>
          </w:p>
        </w:tc>
        <w:tc>
          <w:tcPr>
            <w:tcW w:type="dxa" w:w="136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원고</w:t>
            </w:r>
          </w:p>
        </w:tc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저작권법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Thomson Reuters v. ROSS Intelligence</w:t>
            </w:r>
          </w:p>
        </w:tc>
        <w:tc>
          <w:tcPr>
            <w:tcW w:type="dxa" w:w="113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미국</w:t>
            </w:r>
          </w:p>
        </w:tc>
        <w:tc>
          <w:tcPr>
            <w:tcW w:type="dxa" w:w="90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2025</w:t>
            </w:r>
          </w:p>
        </w:tc>
        <w:tc>
          <w:tcPr>
            <w:tcW w:type="dxa" w:w="136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원고</w:t>
            </w:r>
          </w:p>
        </w:tc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저작권법 (공정이용)</w:t>
            </w:r>
          </w:p>
        </w:tc>
      </w:tr>
      <w:tr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Andrea Bartz v. Anthropic</w:t>
            </w:r>
          </w:p>
        </w:tc>
        <w:tc>
          <w:tcPr>
            <w:tcW w:type="dxa" w:w="113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미국</w:t>
            </w:r>
          </w:p>
        </w:tc>
        <w:tc>
          <w:tcPr>
            <w:tcW w:type="dxa" w:w="90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2025</w:t>
            </w:r>
          </w:p>
        </w:tc>
        <w:tc>
          <w:tcPr>
            <w:tcW w:type="dxa" w:w="136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원고</w:t>
            </w:r>
          </w:p>
        </w:tc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저작권법 (공정이용)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Kadrey v. Meta</w:t>
            </w:r>
          </w:p>
        </w:tc>
        <w:tc>
          <w:tcPr>
            <w:tcW w:type="dxa" w:w="113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미국</w:t>
            </w:r>
          </w:p>
        </w:tc>
        <w:tc>
          <w:tcPr>
            <w:tcW w:type="dxa" w:w="90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2025</w:t>
            </w:r>
          </w:p>
        </w:tc>
        <w:tc>
          <w:tcPr>
            <w:tcW w:type="dxa" w:w="136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피고(AI사)</w:t>
            </w:r>
          </w:p>
        </w:tc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저작권법 (공정이용)</w:t>
            </w:r>
          </w:p>
        </w:tc>
      </w:tr>
      <w:tr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Getty Images v. Stability AI</w:t>
            </w:r>
          </w:p>
        </w:tc>
        <w:tc>
          <w:tcPr>
            <w:tcW w:type="dxa" w:w="113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영국</w:t>
            </w:r>
          </w:p>
        </w:tc>
        <w:tc>
          <w:tcPr>
            <w:tcW w:type="dxa" w:w="90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2025</w:t>
            </w:r>
          </w:p>
        </w:tc>
        <w:tc>
          <w:tcPr>
            <w:tcW w:type="dxa" w:w="136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피고(AI사)</w:t>
            </w:r>
          </w:p>
        </w:tc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저작권법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GEMA v. OpenAI</w:t>
            </w:r>
          </w:p>
        </w:tc>
        <w:tc>
          <w:tcPr>
            <w:tcW w:type="dxa" w:w="1134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독일</w:t>
            </w:r>
          </w:p>
        </w:tc>
        <w:tc>
          <w:tcPr>
            <w:tcW w:type="dxa" w:w="90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2025</w:t>
            </w:r>
          </w:p>
        </w:tc>
        <w:tc>
          <w:tcPr>
            <w:tcW w:type="dxa" w:w="136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원고</w:t>
            </w:r>
          </w:p>
        </w:tc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저작권법</w:t>
            </w:r>
          </w:p>
        </w:tc>
      </w:tr>
      <w:tr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GEMA v. Suno</w:t>
            </w:r>
          </w:p>
        </w:tc>
        <w:tc>
          <w:tcPr>
            <w:tcW w:type="dxa" w:w="113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독일</w:t>
            </w:r>
          </w:p>
        </w:tc>
        <w:tc>
          <w:tcPr>
            <w:tcW w:type="dxa" w:w="90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2026</w:t>
            </w:r>
          </w:p>
        </w:tc>
        <w:tc>
          <w:tcPr>
            <w:tcW w:type="dxa" w:w="136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원고</w:t>
            </w:r>
          </w:p>
        </w:tc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저작권법 (미·독)</w:t>
            </w:r>
          </w:p>
        </w:tc>
      </w:tr>
    </w:tbl>
    <w:p>
      <w:pPr>
        <w:spacing w:after="40"/>
      </w:pPr>
    </w:p>
    <w:p>
      <w:pPr>
        <w:pStyle w:val="Heading2"/>
      </w:pPr>
      <w:r>
        <w:t>4-2. 오픈소스 컴플라이언스와의 성숙도 격차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영역</w:t>
            </w:r>
          </w:p>
        </w:tc>
        <w:tc>
          <w:tcPr>
            <w:tcW w:type="dxa" w:w="793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축적된 역사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Open Source</w:t>
            </w:r>
          </w:p>
        </w:tc>
        <w:tc>
          <w:tcPr>
            <w:tcW w:type="dxa" w:w="793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AFPA v. Edu4 → SCO v. IBM($1B, 2003) → BusyBox(2007) → Jacobsen v. Katzer(2008) → Google v. Oracle(2018) → 현재.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20년 넘게 다듬어져 준비되어 있음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Open Data</w:t>
            </w:r>
          </w:p>
        </w:tc>
        <w:tc>
          <w:tcPr>
            <w:tcW w:type="dxa" w:w="793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Getty Image v. Stable Diffusion(2023) → 중국 2건(2024) → Thomson Reuters v. ROSS / Bartz v. Anthropic / GEMA v. OpenAI(2025) → 현재.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아직 준비되지 않음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Source Code</w:t>
            </w:r>
          </w:p>
        </w:tc>
        <w:tc>
          <w:tcPr>
            <w:tcW w:type="dxa" w:w="481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AI Training Data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형태: 코드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형태: 코드, 텍스트, 이미지, 영상, 오디오 등</w:t>
            </w:r>
          </w:p>
        </w:tc>
      </w:tr>
      <w:tr>
        <w:tc>
          <w:tcPr>
            <w:tcW w:type="dxa" w:w="481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이용 목적: 소프트웨어 개발</w:t>
            </w:r>
          </w:p>
        </w:tc>
        <w:tc>
          <w:tcPr>
            <w:tcW w:type="dxa" w:w="481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이용 목적: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본래 저작물의 목적과 다른 목적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컴플라이언스: 표준화되어 준수됨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컴플라이언스: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표준화되지 않음</w:t>
            </w:r>
          </w:p>
        </w:tc>
      </w:tr>
      <w:tr>
        <w:tc>
          <w:tcPr>
            <w:tcW w:type="dxa" w:w="481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고지의 의무: 표준화되어 준수됨</w:t>
            </w:r>
          </w:p>
        </w:tc>
        <w:tc>
          <w:tcPr>
            <w:tcW w:type="dxa" w:w="481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고지의 의무: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표준화되지 않음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Source Code → compile → Software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Data + Source Code → train → AI Model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(데이터가 결과물의 일부가 된다)</w:t>
            </w:r>
          </w:p>
        </w:tc>
      </w:tr>
    </w:tbl>
    <w:p>
      <w:pPr>
        <w:spacing w:after="40"/>
      </w:pPr>
    </w:p>
    <w:p>
      <w:pPr>
        <w:pStyle w:val="Heading2"/>
      </w:pPr>
      <w:r>
        <w:t>4-3. 국가별 면책 규정 — 파편화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1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국가</w:t>
            </w:r>
          </w:p>
        </w:tc>
        <w:tc>
          <w:tcPr>
            <w:tcW w:type="dxa" w:w="311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항변 근거</w:t>
            </w:r>
          </w:p>
        </w:tc>
        <w:tc>
          <w:tcPr>
            <w:tcW w:type="dxa" w:w="51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핵심 조항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미국</w:t>
            </w:r>
          </w:p>
        </w:tc>
        <w:tc>
          <w:tcPr>
            <w:tcW w:type="dxa" w:w="311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Fair Use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17 U.S.C. § 107 (4요소 형량)</w:t>
            </w:r>
          </w:p>
        </w:tc>
      </w:tr>
      <w:tr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한국</w:t>
            </w:r>
          </w:p>
        </w:tc>
        <w:tc>
          <w:tcPr>
            <w:tcW w:type="dxa" w:w="311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공정이용</w:t>
            </w:r>
          </w:p>
        </w:tc>
        <w:tc>
          <w:tcPr>
            <w:tcW w:type="dxa" w:w="51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저작권법 제35조의5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EU</w:t>
            </w:r>
          </w:p>
        </w:tc>
        <w:tc>
          <w:tcPr>
            <w:tcW w:type="dxa" w:w="311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TDM 예외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DSM Directive Arts. 3 &amp; 4</w:t>
            </w:r>
          </w:p>
        </w:tc>
      </w:tr>
      <w:tr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일본</w:t>
            </w:r>
          </w:p>
        </w:tc>
        <w:tc>
          <w:tcPr>
            <w:tcW w:type="dxa" w:w="311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정보분석 예외</w:t>
            </w:r>
          </w:p>
        </w:tc>
        <w:tc>
          <w:tcPr>
            <w:tcW w:type="dxa" w:w="51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저작권법 제30조의4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싱가포르</w:t>
            </w:r>
          </w:p>
        </w:tc>
        <w:tc>
          <w:tcPr>
            <w:tcW w:type="dxa" w:w="311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전산데이터분석(CDA) 예외</w:t>
            </w:r>
          </w:p>
        </w:tc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Copyright Act 2021 §§ 243–244</w:t>
            </w:r>
          </w:p>
        </w:tc>
      </w:tr>
      <w:tr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영국</w:t>
            </w:r>
          </w:p>
        </w:tc>
        <w:tc>
          <w:tcPr>
            <w:tcW w:type="dxa" w:w="311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Fair Dealing</w:t>
            </w:r>
          </w:p>
        </w:tc>
        <w:tc>
          <w:tcPr>
            <w:tcW w:type="dxa" w:w="51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CDPA 1988 §§ 29–30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국가별로 저작권법상의 면책은 파편화되고 있고, 예측 가능성은 줄어들고 있습니다.</w:t>
            </w:r>
          </w:p>
        </w:tc>
      </w:tr>
    </w:tbl>
    <w:p>
      <w:pPr>
        <w:spacing w:after="40"/>
      </w:pP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>한국의 공정이용 조항은 2012년 한미 FTA 당시 미국 저작권법의 공정이용 범위를 거의 그대로 차용한 것.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>문제는 글로벌 배포. 모델을 허깅페이스에 올리면 지구 반대편까지 도달하는데, 그 국가의 저작권법은 어떤지, 항변 근거는 무엇인지를 매번 리서치해야 한다. 파편화가 심해질수록 기업 내부 컴플라이언스 체계에 소모되는 에너지가 급증한다.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>고객 요구도 실재한다 — AI 모델을 제3자·고객사에 제공할 때 「학습데이터를 뭘로 썼는지 공개해 달라」는 요청이 그룹사 포함해 꽤 들어온다.</w:t>
      </w:r>
    </w:p>
    <w:p>
      <w:pPr>
        <w:pStyle w:val="Heading2"/>
      </w:pPr>
      <w:r>
        <w:t>4-4. Andrea Bartz v. Anthropic — 같은 학습, 다른 결론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같은 AI 학습이라도 데이터를 어떻게 취득했는가에 따라 공정이용 판단이 갈렸다.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4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공정이용 4요소</w:t>
            </w:r>
          </w:p>
        </w:tc>
        <w:tc>
          <w:tcPr>
            <w:tcW w:type="dxa" w:w="209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① LLM 학습을 위한 복제</w:t>
            </w:r>
          </w:p>
        </w:tc>
        <w:tc>
          <w:tcPr>
            <w:tcW w:type="dxa" w:w="209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② 구매한 책의 디지털화</w:t>
            </w:r>
          </w:p>
        </w:tc>
        <w:tc>
          <w:tcPr>
            <w:tcW w:type="dxa" w:w="204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③ 불법 다운로드 도서 저장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제1요소: 이용의 목적과 성격</w:t>
            </w:r>
          </w:p>
        </w:tc>
        <w:tc>
          <w:tcPr>
            <w:tcW w:type="dxa" w:w="209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피고 유리</w:t>
            </w:r>
          </w:p>
        </w:tc>
        <w:tc>
          <w:tcPr>
            <w:tcW w:type="dxa" w:w="209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피고 유리</w:t>
            </w:r>
          </w:p>
        </w:tc>
        <w:tc>
          <w:tcPr>
            <w:tcW w:type="dxa" w:w="204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원고 유리</w:t>
            </w:r>
          </w:p>
        </w:tc>
      </w:tr>
      <w:tr>
        <w:tc>
          <w:tcPr>
            <w:tcW w:type="dxa" w:w="34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제2요소: 원저작물의 성격</w:t>
            </w:r>
          </w:p>
        </w:tc>
        <w:tc>
          <w:tcPr>
            <w:tcW w:type="dxa" w:w="209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원고 유리</w:t>
            </w:r>
          </w:p>
        </w:tc>
        <w:tc>
          <w:tcPr>
            <w:tcW w:type="dxa" w:w="209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원고 유리</w:t>
            </w:r>
          </w:p>
        </w:tc>
        <w:tc>
          <w:tcPr>
            <w:tcW w:type="dxa" w:w="204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원고 유리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제3요소: 이용된 부분의 양과 중요성</w:t>
            </w:r>
          </w:p>
        </w:tc>
        <w:tc>
          <w:tcPr>
            <w:tcW w:type="dxa" w:w="209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피고 유리</w:t>
            </w:r>
          </w:p>
        </w:tc>
        <w:tc>
          <w:tcPr>
            <w:tcW w:type="dxa" w:w="2098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피고 유리</w:t>
            </w:r>
          </w:p>
        </w:tc>
        <w:tc>
          <w:tcPr>
            <w:tcW w:type="dxa" w:w="204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원고 유리</w:t>
            </w:r>
          </w:p>
        </w:tc>
      </w:tr>
      <w:tr>
        <w:tc>
          <w:tcPr>
            <w:tcW w:type="dxa" w:w="34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제4요소: 잠재적 시장·가치에 미치는 영향</w:t>
            </w:r>
          </w:p>
        </w:tc>
        <w:tc>
          <w:tcPr>
            <w:tcW w:type="dxa" w:w="209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피고 유리</w:t>
            </w:r>
          </w:p>
        </w:tc>
        <w:tc>
          <w:tcPr>
            <w:tcW w:type="dxa" w:w="209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중립</w:t>
            </w:r>
          </w:p>
        </w:tc>
        <w:tc>
          <w:tcPr>
            <w:tcW w:type="dxa" w:w="204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원고 유리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공정이용?</w:t>
            </w:r>
          </w:p>
        </w:tc>
        <w:tc>
          <w:tcPr>
            <w:tcW w:type="dxa" w:w="209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인정 O</w:t>
            </w:r>
          </w:p>
        </w:tc>
        <w:tc>
          <w:tcPr>
            <w:tcW w:type="dxa" w:w="209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인정 O</w:t>
            </w:r>
          </w:p>
        </w:tc>
        <w:tc>
          <w:tcPr>
            <w:tcW w:type="dxa" w:w="204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부정 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문제는, 우리가 사용하는 데이터셋이 어디서 온 데이터인지 모른다는 데 있습니다.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4-5. 세계는 이미 같은 질문을 시작했다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주체</w:t>
            </w:r>
          </w:p>
        </w:tc>
        <w:tc>
          <w:tcPr>
            <w:tcW w:type="dxa" w:w="793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묻는 방식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법원</w:t>
            </w:r>
          </w:p>
        </w:tc>
        <w:tc>
          <w:tcPr>
            <w:tcW w:type="dxa" w:w="793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「이 자료는 어디서 왔고, 누가 그 사용을 허락했는가?」 — Bartz는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책을 어떻게 취득했는지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를, Getty는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복제가 어디서 일어났는지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를 물었다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규제기관</w:t>
            </w:r>
          </w:p>
        </w:tc>
        <w:tc>
          <w:tcPr>
            <w:tcW w:type="dxa" w:w="793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「시스템이 무엇으로 학습되었는지 요약을 공개하라」 — 캘리포니아 AB 2013은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2026년 1월부터 시행 중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이고, 유사 의무가 다른 나라에도 도입되고 있다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고객</w:t>
            </w:r>
          </w:p>
        </w:tc>
        <w:tc>
          <w:tcPr>
            <w:tcW w:type="dxa" w:w="793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「우리가 도입하는 모델 안에 무엇이 들어 있는지 보여 줄 수 있습니까?」 —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구매 부서는 이제 SBOM을 요구하듯 데이터 출처를 요구한다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→ 팀 공유 시 가장 설득력 있는 한 장. AI-BOM이 법무 이슈만이 아니라 구매·영업 이슈이기도 함을 보여준다.</w:t>
      </w:r>
    </w:p>
    <w:p>
      <w:r>
        <w:br w:type="page"/>
      </w:r>
    </w:p>
    <w:p>
      <w:pPr>
        <w:pStyle w:val="Heading1"/>
      </w:pPr>
      <w:r>
        <w:t>5. LG AI연구원이 만들고 있는 것</w:t>
      </w:r>
    </w:p>
    <w:p>
      <w:pPr>
        <w:pStyle w:val="Heading2"/>
      </w:pPr>
      <w:r>
        <w:t>5-1. 빠진 고리를 정의한다 — 데이터셋 계보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대한민국 정부의 국가 AI-BOM 프로파일 과제로 수행 중이며, SPDX 3.0을 수정 없이 확장한다.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법적 의무</w:t>
            </w:r>
          </w:p>
        </w:tc>
        <w:tc>
          <w:tcPr>
            <w:tcW w:type="dxa" w:w="34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문제</w:t>
            </w:r>
          </w:p>
        </w:tc>
        <w:tc>
          <w:tcPr>
            <w:tcW w:type="dxa" w:w="34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우리가 정의하는 필드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인공지능 기본법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학습에 사용된 데이터의 개요</w:t>
            </w:r>
          </w:p>
        </w:tc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문장은 기록이 아니다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「공개 웹데이터로 학습함」 식으로는 검증할 수 있는 것이 없다</w:t>
            </w:r>
          </w:p>
        </w:tc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데이터셋 계보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문장이 아닌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그래프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. 기계 판독 가능하고 검증 가능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/>
          <w:i w:val="0"/>
          <w:sz w:val="20"/>
          <w:rFonts w:ascii="맑은 고딕" w:hAnsi="맑은 고딕" w:eastAsia="맑은 고딕" w:cs="맑은 고딕"/>
        </w:rPr>
        <w:t>구조: 모델 ← 데이터셋 ← 데이터 소스 1~4 ← 소스 1-1, 1-2… ← 소스 1-2-1… (더 이상 새로운 소스가 나오지 않을 때까지)</w:t>
      </w:r>
    </w:p>
    <w:p>
      <w:pPr>
        <w:spacing w:before="0" w:after="120"/>
      </w:pPr>
      <w:r>
        <w:rPr>
          <w:b/>
          <w:i w:val="0"/>
          <w:sz w:val="20"/>
          <w:rFonts w:ascii="맑은 고딕" w:hAnsi="맑은 고딕" w:eastAsia="맑은 고딕" w:cs="맑은 고딕"/>
        </w:rPr>
        <w:t>각 엣지에 담기는 정보: 출처 · 라이선스 · 취득 방법 · 용도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 w:val="0"/>
                <w:sz w:val="20"/>
                <w:rFonts w:ascii="맑은 고딕" w:hAnsi="맑은 고딕" w:eastAsia="맑은 고딕" w:cs="맑은 고딕"/>
              </w:rPr>
              <w:t>한 나라의 법적 의무를 국제 표준의 언어로 옮겼습니다. 대한민국은 신뢰가 국경을 넘는 첫걸음입니다.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5-2. 왜 공급망의 「끝」까지 추적해야 하는가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1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단계</w:t>
            </w:r>
          </w:p>
        </w:tc>
        <w:tc>
          <w:tcPr>
            <w:tcW w:type="dxa" w:w="198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무엇</w:t>
            </w:r>
          </w:p>
        </w:tc>
        <w:tc>
          <w:tcPr>
            <w:tcW w:type="dxa" w:w="6236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무슨 일이 일어났나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시작점</w:t>
            </w:r>
          </w:p>
        </w:tc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Bibliotik</w:t>
            </w:r>
          </w:p>
        </w:tc>
        <w:tc>
          <w:tcPr>
            <w:tcW w:type="dxa" w:w="6236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비공개 트래커 —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불법 저작물 도서 유통 사이트</w:t>
            </w:r>
          </w:p>
        </w:tc>
      </w:tr>
      <w:tr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복제</w:t>
            </w:r>
          </w:p>
        </w:tc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Books3</w:t>
            </w:r>
          </w:p>
        </w:tc>
        <w:tc>
          <w:tcPr>
            <w:tcW w:type="dxa" w:w="6236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여기서 스크래핑해 만들어진 도서 컬렉션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재포장</w:t>
            </w:r>
          </w:p>
        </w:tc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The Pile</w:t>
            </w:r>
          </w:p>
        </w:tc>
        <w:tc>
          <w:tcPr>
            <w:tcW w:type="dxa" w:w="6236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이를 포함한 오픈 데이터셋</w:t>
            </w:r>
          </w:p>
        </w:tc>
      </w:tr>
      <w:tr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재라벨링</w:t>
            </w:r>
          </w:p>
        </w:tc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RedPajama</w:t>
            </w:r>
          </w:p>
        </w:tc>
        <w:tc>
          <w:tcPr>
            <w:tcW w:type="dxa" w:w="6236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다운스트림 코퍼스,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Permissive 라이선스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전부 상속</w:t>
            </w:r>
          </w:p>
        </w:tc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어떤 모델</w:t>
            </w:r>
          </w:p>
        </w:tc>
        <w:tc>
          <w:tcPr>
            <w:tcW w:type="dxa" w:w="6236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「오픈」 데이터로 학습</w:t>
            </w:r>
          </w:p>
        </w:tc>
      </w:tr>
    </w:tbl>
    <w:p>
      <w:pPr>
        <w:spacing w:after="40"/>
      </w:pP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>중복 제거와 필터링은 데이터를 더 깨끗하게 만들 뿐, 그 출처를 알려주지는 않는다.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>모든 단계가 기술적으로는 정당했지만, 최종 모델에 이르렀을 때 진짜 출처는 네 단계 위 데이터셋에 묻혀 상위 라벨에서는 전혀 보이지 않는다.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B0302E"/>
              <w:top w:val="single" w:sz="4" w:space="0" w:color="FDF3E7"/>
              <w:bottom w:val="single" w:sz="4" w:space="0" w:color="FDF3E7"/>
              <w:right w:val="single" w:sz="4" w:space="0" w:color="FDF3E7"/>
            </w:tcBorders>
            <w:shd w:val="clear" w:color="auto" w:fill="FDF3E7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결함은 최종 데이터셋에 있지 않습니다. 아무도 더 이상 들여다보지 않는 그 출발점에 있습니다.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왜 이런 체인이 생기는가 — A 개발자가 미국에서 학습데이터를 배포하면, 지구 반대편 인도의 개발자가 그걸 받아 「이 데이터셋 좋네, 여기에 뉴욕타임스 에디션을 좀 포함시켜 재배포해볼까」 한다. 이런 식으로 데이터셋이 합쳐지고, 분할되고, 증류되고, 재배포되는 현상이 무한히 반복된다. 그리고 이것이 Anthropic이 거액을 배상하게 된 바로 그 데이터셋 계보다.</w:t>
      </w:r>
    </w:p>
    <w:p>
      <w:pPr>
        <w:pStyle w:val="Heading2"/>
      </w:pPr>
      <w:r>
        <w:t>5-3. 21%만 살아남았다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스스로 「상업적 이용 가능」이라 밝힌 2,852개 데이터셋을 모든 하위 소스까지 추적한 결과: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51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기준</w:t>
            </w:r>
          </w:p>
        </w:tc>
        <w:tc>
          <w:tcPr>
            <w:tcW w:type="dxa" w:w="4535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결과</w:t>
            </w:r>
          </w:p>
        </w:tc>
      </w:tr>
      <w:tr>
        <w:tc>
          <w:tcPr>
            <w:tcW w:type="dxa" w:w="51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라벨 기준 (최상단이 말한 그대로)</w:t>
            </w:r>
          </w:p>
        </w:tc>
        <w:tc>
          <w:tcPr>
            <w:tcW w:type="dxa" w:w="4535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2,852개</w:t>
            </w:r>
          </w:p>
        </w:tc>
      </w:tr>
      <w:tr>
        <w:tc>
          <w:tcPr>
            <w:tcW w:type="dxa" w:w="51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추적 이후 (공급망을 실제로 따라간 결과)</w:t>
            </w:r>
          </w:p>
        </w:tc>
        <w:tc>
          <w:tcPr>
            <w:tcW w:type="dxa" w:w="4535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605개 (21.2%)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리스크 등급: A-1 &gt; A-2 &gt; A-3 (상업적 이용 가능) &gt; B-1 &gt; B-2 (연구 목적 한정) &gt; C-1 &gt; C-2 (이용 불가)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이 숫자는 누구도 탓하지 않습니다. 우리가 얼마나 몰랐는지를 보여 줍니다. 우리가 「오픈」이라 부르는 것의 78.8%는 단 한 번도 그 사슬이 추적된 적이 없습니다. 배포자도, 사용자도 하지 않았습니다. 그것을 해낼 도구를 만들기 전까지는 우리도 하지 않았습니다.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i w:val="0"/>
          <w:color w:val="1F3B73"/>
          <w:sz w:val="20"/>
          <w:rFonts w:ascii="맑은 고딕" w:hAnsi="맑은 고딕" w:eastAsia="맑은 고딕" w:cs="맑은 고딕"/>
        </w:rPr>
        <w:t xml:space="preserve">FineVision 추적 사례 — 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개발자들은 「이 데이터셋은 Apache / MIT / CC-BY 4.0으로 배포되어 있으니 써도 문제없겠죠?」라고 법무팀에 묻는다. 그래서 FineVision이라는 단일 데이터셋 하나를 에이전트로 끝까지 추적해봤다.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그 아래에 약 </w:t>
      </w:r>
      <w:r>
        <w:rPr>
          <w:b/>
          <w:i w:val="0"/>
          <w:sz w:val="20"/>
          <w:rFonts w:ascii="맑은 고딕" w:hAnsi="맑은 고딕" w:eastAsia="맑은 고딕" w:cs="맑은 고딕"/>
        </w:rPr>
        <w:t>3,000개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의 서로 다른 라이선스 텀이 존재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그중에는 </w:t>
      </w:r>
      <w:r>
        <w:rPr>
          <w:b/>
          <w:i w:val="0"/>
          <w:sz w:val="20"/>
          <w:rFonts w:ascii="맑은 고딕" w:hAnsi="맑은 고딕" w:eastAsia="맑은 고딕" w:cs="맑은 고딕"/>
        </w:rPr>
        <w:t>「이 데이터를 절대 AI 학습에 사용하지 마세요」</w:t>
      </w:r>
      <w:r>
        <w:rPr>
          <w:b w:val="0"/>
          <w:i w:val="0"/>
          <w:sz w:val="20"/>
          <w:rFonts w:ascii="맑은 고딕" w:hAnsi="맑은 고딕" w:eastAsia="맑은 고딕" w:cs="맑은 고딕"/>
        </w:rPr>
        <w:t>, 「non-commercial 용도로만 사용 가능」 같은 조건이 다수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이미 소송에 걸려 있거나 판결을 앞둔 </w:t>
      </w:r>
      <w:r>
        <w:rPr>
          <w:b/>
          <w:i w:val="0"/>
          <w:sz w:val="20"/>
          <w:rFonts w:ascii="맑은 고딕" w:hAnsi="맑은 고딕" w:eastAsia="맑은 고딕" w:cs="맑은 고딕"/>
        </w:rPr>
        <w:t>위험 데이터셋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도 포함</w:t>
      </w:r>
    </w:p>
    <w:p>
      <w:pPr>
        <w:spacing w:before="120" w:after="40"/>
      </w:pPr>
      <w:r>
        <w:rPr>
          <w:b/>
          <w:i w:val="0"/>
          <w:color w:val="1F3B73"/>
          <w:sz w:val="20"/>
          <w:rFonts w:ascii="맑은 고딕" w:hAnsi="맑은 고딕" w:eastAsia="맑은 고딕" w:cs="맑은 고딕"/>
        </w:rPr>
        <w:t>개발자들은 출처를 알고 쓰는가? — 아니다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이게 SNS의 「좋아요」와 같습니다.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허깅페이스의 Most Downloaded / Most Liked 목록이 그 역할을 한다. 「이 데이터를 썼더니 성능이 많이 올라간다」는 좋아요가 쌓인 데이터셋이 널리 쓰이고, 출처는 추적되지 않는다. 그래서 위험한 데이터셋인지 — 심지어 악용 데이터가 섞여 있는지 — 전혀 모르는 상태로, 벤치마크 성능에 도움 되는 데이터셋 위주로 사용·배포되고 있다.</w:t>
      </w:r>
    </w:p>
    <w:p>
      <w:pPr>
        <w:pStyle w:val="Heading2"/>
      </w:pPr>
      <w:r>
        <w:t>5-4. 노력의 문제가 아니라 규모의 문제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데이터셋 하나를 정직하게 검토하려면:</w:t>
      </w:r>
    </w:p>
    <w:p>
      <w:pPr>
        <w:spacing w:after="60" w:line="312" w:lineRule="auto"/>
        <w:ind w:left="340" w:hanging="340"/>
      </w:pPr>
      <w:r>
        <w:rPr>
          <w:b/>
          <w:sz w:val="20"/>
          <w:rFonts w:ascii="맑은 고딕" w:hAnsi="맑은 고딕" w:eastAsia="맑은 고딕" w:cs="맑은 고딕"/>
        </w:rPr>
        <w:t xml:space="preserve">1. </w:t>
      </w:r>
      <w:r>
        <w:rPr>
          <w:b w:val="0"/>
          <w:i w:val="0"/>
          <w:sz w:val="20"/>
          <w:rFonts w:ascii="맑은 고딕" w:hAnsi="맑은 고딕" w:eastAsia="맑은 고딕" w:cs="맑은 고딕"/>
        </w:rPr>
        <w:t>검토 대상 데이터셋 확인</w:t>
      </w:r>
    </w:p>
    <w:p>
      <w:pPr>
        <w:spacing w:after="60" w:line="312" w:lineRule="auto"/>
        <w:ind w:left="340" w:hanging="340"/>
      </w:pPr>
      <w:r>
        <w:rPr>
          <w:b/>
          <w:sz w:val="20"/>
          <w:rFonts w:ascii="맑은 고딕" w:hAnsi="맑은 고딕" w:eastAsia="맑은 고딕" w:cs="맑은 고딕"/>
        </w:rPr>
        <w:t xml:space="preserve">2. 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루트 데이터셋의 라이선스 조건 분석</w:t>
      </w:r>
    </w:p>
    <w:p>
      <w:pPr>
        <w:spacing w:after="60" w:line="312" w:lineRule="auto"/>
        <w:ind w:left="340" w:hanging="340"/>
      </w:pPr>
      <w:r>
        <w:rPr>
          <w:b/>
          <w:sz w:val="20"/>
          <w:rFonts w:ascii="맑은 고딕" w:hAnsi="맑은 고딕" w:eastAsia="맑은 고딕" w:cs="맑은 고딕"/>
        </w:rPr>
        <w:t xml:space="preserve">3. 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루트 데이터셋 내 모든 하위 소스 발견 (메타데이터 파싱 → 중첩 하위 소스 추출)</w:t>
      </w:r>
    </w:p>
    <w:p>
      <w:pPr>
        <w:spacing w:after="60" w:line="312" w:lineRule="auto"/>
        <w:ind w:left="340" w:hanging="340"/>
      </w:pPr>
      <w:r>
        <w:rPr>
          <w:b/>
          <w:sz w:val="20"/>
          <w:rFonts w:ascii="맑은 고딕" w:hAnsi="맑은 고딕" w:eastAsia="맑은 고딕" w:cs="맑은 고딕"/>
        </w:rPr>
        <w:t xml:space="preserve">4. </w:t>
      </w:r>
      <w:r>
        <w:rPr>
          <w:b w:val="0"/>
          <w:i w:val="0"/>
          <w:sz w:val="20"/>
          <w:rFonts w:ascii="맑은 고딕" w:hAnsi="맑은 고딕" w:eastAsia="맑은 고딕" w:cs="맑은 고딕"/>
        </w:rPr>
        <w:t>개별 하위 소스별 조건 분석</w:t>
      </w:r>
    </w:p>
    <w:p>
      <w:pPr>
        <w:spacing w:after="60" w:line="312" w:lineRule="auto"/>
        <w:ind w:left="340" w:hanging="340"/>
      </w:pPr>
      <w:r>
        <w:rPr>
          <w:b/>
          <w:sz w:val="20"/>
          <w:rFonts w:ascii="맑은 고딕" w:hAnsi="맑은 고딕" w:eastAsia="맑은 고딕" w:cs="맑은 고딕"/>
        </w:rPr>
        <w:t xml:space="preserve">5. </w:t>
      </w:r>
      <w:r>
        <w:rPr>
          <w:b w:val="0"/>
          <w:i w:val="0"/>
          <w:sz w:val="20"/>
          <w:rFonts w:ascii="맑은 고딕" w:hAnsi="맑은 고딕" w:eastAsia="맑은 고딕" w:cs="맑은 고딕"/>
        </w:rPr>
        <w:t>하위의 하위 소스까지 재귀적으로 추적</w:t>
      </w:r>
    </w:p>
    <w:p>
      <w:pPr>
        <w:spacing w:after="60" w:line="312" w:lineRule="auto"/>
        <w:ind w:left="340" w:hanging="340"/>
      </w:pPr>
      <w:r>
        <w:rPr>
          <w:b/>
          <w:sz w:val="20"/>
          <w:rFonts w:ascii="맑은 고딕" w:hAnsi="맑은 고딕" w:eastAsia="맑은 고딕" w:cs="맑은 고딕"/>
        </w:rPr>
        <w:t xml:space="preserve">6. 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최하위 소스의 조건까지 평가 → 라이선스를 종합해 총체적 리스크 평가 → AI 데이터 리스크 등급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사람의 속도로는 끝에 닿을 수 없습니다. 게을러서가 아니라, 숫자가 허락하지 않기 때문입니다.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규모의 실체 — 데이터셋 하나 안에 서로 다른 라이선스 노드가 많은 경우 1만 8천 개까지 병존한다. 이걸 전부 수집하고 노드별로 평가해야만 최종 AI 데이터 리스크 등급을 낼 수 있다.</w:t>
      </w:r>
    </w:p>
    <w:p>
      <w:pPr>
        <w:pStyle w:val="Heading2"/>
      </w:pPr>
      <w:r>
        <w:t>5-5. 그래서 에이전트로 풀었다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1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단계</w:t>
            </w:r>
          </w:p>
        </w:tc>
        <w:tc>
          <w:tcPr>
            <w:tcW w:type="dxa" w:w="8220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하는 일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1. 읽기</w:t>
            </w:r>
          </w:p>
        </w:tc>
        <w:tc>
          <w:tcPr>
            <w:tcW w:type="dxa" w:w="8220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데이터셋 카드를 연다. 선언된 모든 소스를 추출한다</w:t>
            </w:r>
          </w:p>
        </w:tc>
      </w:tr>
      <w:tr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2. 추적</w:t>
            </w:r>
          </w:p>
        </w:tc>
        <w:tc>
          <w:tcPr>
            <w:tcW w:type="dxa" w:w="8220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각 소스를 따라간다.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아래에 아무것도 남지 않을 때까지 재귀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한다. 개발자가 논문·개인 블로그·허깅페이스 페이지에 남긴 단서까지 웹을 돌아다니며 뒤진다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3. 평가</w:t>
            </w:r>
          </w:p>
        </w:tc>
        <w:tc>
          <w:tcPr>
            <w:tcW w:type="dxa" w:w="8220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맨 위가 아니라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공급망 전체를 평가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한다. 각 소스 노드의 라이선스 텀을 수집해 「사용 가능」인지 「AI 학습 금지 조항이 있는지」를 판단한다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측정</w:t>
            </w:r>
          </w:p>
        </w:tc>
        <w:tc>
          <w:tcPr>
            <w:tcW w:type="dxa" w:w="7370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결과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수작업 대비</w:t>
            </w:r>
          </w:p>
        </w:tc>
        <w:tc>
          <w:tcPr>
            <w:tcW w:type="dxa" w:w="7370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45배 더 빠르게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전문가 대비</w:t>
            </w:r>
          </w:p>
        </w:tc>
        <w:tc>
          <w:tcPr>
            <w:tcW w:type="dxa" w:w="7370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26% 더 정확하게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2"/>
                <w:rFonts w:ascii="맑은 고딕" w:hAnsi="맑은 고딕" w:eastAsia="맑은 고딕" w:cs="맑은 고딕"/>
              </w:rPr>
              <w:t>우리는 판단을 자동화한 것이 아닙니다. 추적하는 일을 자동화했을 뿐이고, 그것은 애초에 판단이 아니었습니다.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이 체계는 LG AI연구원 내부를 넘어 LG DX 그룹에도 배포되었고, 국내 로펌들과 협업해 복잡하게 트리화된 학습데이터의 평가 기준을 만들고 있다.</w:t>
      </w:r>
    </w:p>
    <w:p>
      <w:pPr>
        <w:pStyle w:val="Heading2"/>
      </w:pPr>
      <w:r>
        <w:t>5-6. 추적의 끝에서 드러나는 것 — UltraFeedback 사례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INPUT: openbmb/UltraFeedback (Dataset, Text, License: MIT). 14개 기준(데이터 라이선스의 존재, 산출물에 대한 권리, 알려진 분쟁 등)으로 스코어링.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40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평가</w:t>
            </w:r>
          </w:p>
        </w:tc>
        <w:tc>
          <w:tcPr>
            <w:tcW w:type="dxa" w:w="6236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결과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Individual Assessment (A-3)</w:t>
            </w:r>
          </w:p>
        </w:tc>
        <w:tc>
          <w:tcPr>
            <w:tcW w:type="dxa" w:w="6236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상업적 이용 가능 (Low Risk) —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최상단 노드만 보면 MIT 오픈소스</w:t>
            </w:r>
          </w:p>
        </w:tc>
      </w:tr>
      <w:tr>
        <w:tc>
          <w:tcPr>
            <w:tcW w:type="dxa" w:w="340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Aggregate Assessment (C-2)</w:t>
            </w:r>
          </w:p>
        </w:tc>
        <w:tc>
          <w:tcPr>
            <w:tcW w:type="dxa" w:w="6236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Common Crawl과 GPT-4를 사용했기 때문에 상업적·내부 이용 모두 불가 (High Risk)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19"/>
          <w:rFonts w:ascii="맑은 고딕" w:hAnsi="맑은 고딕" w:eastAsia="맑은 고딕" w:cs="맑은 고딕"/>
        </w:rPr>
        <w:t>의존 체인: UltraFeedback ← GPT-4 / UltraChat / ShareGPT / Evol-Instruct ← ChatGPT Turbo API / C4 Dataset / dolly-15k / Falcon 40B ← Common Crawl / Wikipedia / Databricks employees…</w:t>
      </w: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※ 의존 대상의 등급이 파생물보다 낮은 역전(inversion)이 발생하는 지점에서 오류가 드러난다. 등급 체계는 A = 안전(상업적 이용 가능) ↔ C = 위험(이용 불가).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법적 리스크는 데이터 라이프사이클 추적을 통해서만 탐지 가능합니다.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5-7. K-AI BOM은 공급망 전체를 따라 이동한다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주체</w:t>
            </w:r>
          </w:p>
        </w:tc>
        <w:tc>
          <w:tcPr>
            <w:tcW w:type="dxa" w:w="793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역할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데이터셋</w:t>
            </w:r>
          </w:p>
        </w:tc>
        <w:tc>
          <w:tcPr>
            <w:tcW w:type="dxa" w:w="793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자신의 출처와 계보를 선언한다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AI 모델</w:t>
            </w:r>
          </w:p>
        </w:tc>
        <w:tc>
          <w:tcPr>
            <w:tcW w:type="dxa" w:w="793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이를 상속하고 자신의 기록을 더한다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서비스</w:t>
            </w:r>
          </w:p>
        </w:tc>
        <w:tc>
          <w:tcPr>
            <w:tcW w:type="dxa" w:w="793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모델과 그 기록을 함께 제공한다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사용자</w:t>
            </w:r>
          </w:p>
        </w:tc>
        <w:tc>
          <w:tcPr>
            <w:tcW w:type="dxa" w:w="793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무엇을 실행하고 있는지 검증할 수 있다</w:t>
            </w:r>
          </w:p>
        </w:tc>
      </w:tr>
    </w:tbl>
    <w:p>
      <w:pPr>
        <w:spacing w:after="40"/>
      </w:pP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이해관계는 달라도, 근거는 하나 — 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네 주체가 원하는 바는 서로 다르지만, 이제는 같은 기록 위에서 각자 스스로 판단하고 결정할 수 있다.</w:t>
      </w:r>
    </w:p>
    <w:p>
      <w:pPr>
        <w:pStyle w:val="ListBullet"/>
        <w:spacing w:after="60" w:line="312" w:lineRule="auto"/>
        <w:ind w:left="340"/>
      </w:pPr>
      <w:r>
        <w:rPr>
          <w:b/>
          <w:sz w:val="20"/>
          <w:rFonts w:ascii="맑은 고딕" w:hAnsi="맑은 고딕" w:eastAsia="맑은 고딕" w:cs="맑은 고딕"/>
        </w:rPr>
        <w:t xml:space="preserve">하나의 기록, 여러 개의 결정 — 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누구도 다른 사람의 판단을 받아들일 필요는 없다. 같은 것을 볼 수 있고, 그다음 스스로 결정할 수 있으면 충분하다.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 w:val="0"/>
                <w:i/>
                <w:sz w:val="20"/>
                <w:rFonts w:ascii="맑은 고딕" w:hAnsi="맑은 고딕" w:eastAsia="맑은 고딕" w:cs="맑은 고딕"/>
              </w:rPr>
              <w:t>몇 년 후에는 우리 집에도 가사 로봇이 있고 길거리에도 로봇이 걸어 다닐 것 같습니다. AI 로봇이 나를 때린다면, 나는 누구에게 소송을 걸어야 합니까? AI 배포자인가, 로봇을 만든 사람인가, 아니면 데이터셋을 무단으로 여러 번 재배포한 사람인가? 공급망에서 학습데이터와 AI 모델이 다음 이해관계자에게 전달될 때 증빙 가능한 정보가 함께 들어간다면, 그 판단의 근거가 됩니다.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K-AI BOM 현황 — SPDX를 차용한 한국형 AI-BOM으로 개발 중이며 NIPA 과제를 통해 수행. 별도로 학습데이터를 직접 추적해볼 수 있는 플랫폼도 제공 중이다. 목적은 사후 수습이 아니라 사전 대처 — 다 만들어놓고 나서 거액짜리 데이터셋을 썼다는 걸 알게 되는 상황을 막는 것.</w:t>
      </w:r>
    </w:p>
    <w:p>
      <w:r>
        <w:br w:type="page"/>
      </w:r>
    </w:p>
    <w:p>
      <w:pPr>
        <w:pStyle w:val="Heading1"/>
      </w:pPr>
      <w:r>
        <w:t>6. 외부 검증 — 웹 리서치 팩트체크</w:t>
      </w: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발표 내용을 1차 자료와 대조한 결과다 (2026-09-07 검색 기준).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55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발표 내용</w:t>
            </w:r>
          </w:p>
        </w:tc>
        <w:tc>
          <w:tcPr>
            <w:tcW w:type="dxa" w:w="566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공개 자료로 확인한 것</w:t>
            </w:r>
          </w:p>
        </w:tc>
        <w:tc>
          <w:tcPr>
            <w:tcW w:type="dxa" w:w="141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판정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「Bartz v. Anthropic 합의금 약 2조 원」</w:t>
            </w:r>
          </w:p>
        </w:tc>
        <w:tc>
          <w:tcPr>
            <w:tcW w:type="dxa" w:w="5669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$1.5B(15억 달러)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합의. 약 50만 건의 저작물 대상,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작품당 약 $3,000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, 해적판 데이터셋 폐기 의무, 120일 옵트아웃. 미국 사상 최대 규모 저작권 합의 [1][2][3]</w:t>
            </w:r>
          </w:p>
        </w:tc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맞음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Bartz 4요소 표 (①O ②O ③X)</w:t>
            </w:r>
          </w:p>
        </w:tc>
        <w:tc>
          <w:tcPr>
            <w:tcW w:type="dxa" w:w="56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Alsup 판사는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적법 취득 도서로 학습한 것은 공정이용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이라 했으나, 해적 사이트에서 내려받아 중앙 라이브러리에 보관한 부분은 공정이용을 인정하지 않았다. Anthropic은 Books3·LibGen·PiLiMi 등에서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700만 권 이상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을 내려받았다 [1][2][3]</w:t>
            </w:r>
          </w:p>
        </w:tc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맞음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「GEMA v. OpenAI 독일에서 OpenAI 완패」</w:t>
            </w:r>
          </w:p>
        </w:tc>
        <w:tc>
          <w:tcPr>
            <w:tcW w:type="dxa" w:w="56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2025-11-11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뮌헨 지방법원 I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, OpenAI가 독일 저명 아티스트의 저작권을 침해했다고 판결. 부작위·손해배상·정보제공 명령 [4][5][6]</w:t>
            </w:r>
          </w:p>
        </w:tc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맞음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「Getty Images v. Stability AI — 피고 승」</w:t>
            </w:r>
          </w:p>
        </w:tc>
        <w:tc>
          <w:tcPr>
            <w:tcW w:type="dxa" w:w="56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2025-11-04 영국 고등법원.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2차적 침해 주장 기각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모델 가중치가 원저작물을 저장하지 않으므로 「침해 복제물」이 아님. 단,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Getty가 재판 중 학습 과정 침해·산출물 침해 주장을 스스로 철회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[7][8]</w:t>
            </w:r>
          </w:p>
        </w:tc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결론은 맞음 (표현 주의)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「Thomson Reuters v. ROSS — 원고 승」</w:t>
            </w:r>
          </w:p>
        </w:tc>
        <w:tc>
          <w:tcPr>
            <w:tcW w:type="dxa" w:w="56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2025-02 델라웨어 연방법원, 헤드노트 2,243건 직접침해 인정 + 공정이용 항변 배척.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단, 제3연방항소법원 항소 진행 중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(2025-06 상고 허가, 2026-07 구두변론) [9][10]</w:t>
            </w:r>
          </w:p>
        </w:tc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확정된 법리 아님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「K-EXAONE 2.0 = 750B, 오픈소스」</w:t>
            </w:r>
          </w:p>
        </w:tc>
        <w:tc>
          <w:tcPr>
            <w:tcW w:type="dxa" w:w="56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LG AI연구원이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7,500억(750B) 파라미터 K-EXAONE 2.0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을 공개, 상업적 활용 가능하도록 오픈소스로 전면 개방 [11]</w:t>
            </w:r>
          </w:p>
        </w:tc>
        <w:tc>
          <w:tcPr>
            <w:tcW w:type="dxa" w:w="141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맞음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「GEMA v. Suno 독일 연쇄 패소(2026)」</w:t>
            </w:r>
          </w:p>
        </w:tc>
        <w:tc>
          <w:tcPr>
            <w:tcW w:type="dxa" w:w="56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이번 검색으로는 확인하지 못함</w:t>
            </w:r>
          </w:p>
        </w:tc>
        <w:tc>
          <w:tcPr>
            <w:tcW w:type="dxa" w:w="141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미검증</w:t>
            </w:r>
          </w:p>
        </w:tc>
      </w:tr>
    </w:tbl>
    <w:p>
      <w:pPr>
        <w:spacing w:after="40"/>
      </w:pPr>
    </w:p>
    <w:p>
      <w:pPr>
        <w:pStyle w:val="Heading2"/>
      </w:pPr>
      <w:r>
        <w:t>6-1. 「라벨을 믿지 마라」에 대한 독립적 근거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LG의 2,852 → 605(21.2%)는 자체 산출이라 외부 검증이 안 된다. 그런데 같은 현상을 다른 팀이 독립적으로 측정한 연구가 있다 — Data Provenance Initiative (MIT 등, Nature Machine Intelligence 게재) [12][13].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측정 항목</w:t>
            </w:r>
          </w:p>
        </w:tc>
        <w:tc>
          <w:tcPr>
            <w:tcW w:type="dxa" w:w="7370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결과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감사 대상</w:t>
            </w:r>
          </w:p>
        </w:tc>
        <w:tc>
          <w:tcPr>
            <w:tcW w:type="dxa" w:w="7370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44개 instruction/alignment 컬렉션,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1,858개 개별 데이터셋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의 계보 추적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라이선스 누락률</w:t>
            </w:r>
          </w:p>
        </w:tc>
        <w:tc>
          <w:tcPr>
            <w:tcW w:type="dxa" w:w="7370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GitHub·허깅페이스 인기 데이터셋의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70% 이상이 「unspecified」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라이선스 오류율</w:t>
            </w:r>
          </w:p>
        </w:tc>
        <w:tc>
          <w:tcPr>
            <w:tcW w:type="dxa" w:w="7370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50% 이상.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허깅페이스 라이선스의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66%가 실제와 다른 이용 카테고리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오류의 방향</w:t>
            </w:r>
          </w:p>
        </w:tc>
        <w:tc>
          <w:tcPr>
            <w:tcW w:type="dxa" w:w="7370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대부분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원저자의 실제 라이선스보다 더 관대(permissive)하게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표기됨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개선 결과</w:t>
            </w:r>
          </w:p>
        </w:tc>
        <w:tc>
          <w:tcPr>
            <w:tcW w:type="dxa" w:w="7370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미지정 라이선스를 72% →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30%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로 낮추고 라이선스 URL 부착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1F3B73"/>
              <w:top w:val="single" w:sz="4" w:space="0" w:color="F5F6F8"/>
              <w:bottom w:val="single" w:sz="4" w:space="0" w:color="F5F6F8"/>
              <w:right w:val="single" w:sz="4" w:space="0" w:color="F5F6F8"/>
            </w:tcBorders>
            <w:shd w:val="clear" w:color="auto" w:fill="F5F6F8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「허깅페이스 라벨이 실제보다 더 관대한 쪽으로 틀린다」는 것은, UltraFeedback 사례(MIT라 적혀 있으나 실제는 C-2)가 예외가 아니라 구조적 패턴임을 뜻한다. LG의 21.2%와 DPI의 66% 오분류는 서로 다른 방법론으로 같은 방향을 가리킨다.</w:t>
            </w:r>
          </w:p>
        </w:tc>
      </w:tr>
    </w:tbl>
    <w:p>
      <w:pPr>
        <w:spacing w:after="40"/>
      </w:pPr>
    </w:p>
    <w:p>
      <w:pPr>
        <w:pStyle w:val="Heading2"/>
      </w:pPr>
      <w:r>
        <w:t>6-2. AI-BOM 표준의 현재 위치</w:t>
      </w:r>
    </w:p>
    <w:p>
      <w:pPr>
        <w:pStyle w:val="ListBullet"/>
        <w:spacing w:after="60" w:line="312" w:lineRule="auto"/>
        <w:ind w:left="340"/>
      </w:pPr>
      <w:r>
        <w:rPr>
          <w:b/>
          <w:i w:val="0"/>
          <w:sz w:val="20"/>
          <w:rFonts w:ascii="맑은 고딕" w:hAnsi="맑은 고딕" w:eastAsia="맑은 고딕" w:cs="맑은 고딕"/>
        </w:rPr>
        <w:t>SPDX 3.0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은 </w:t>
      </w:r>
      <w:r>
        <w:rPr>
          <w:b/>
          <w:i w:val="0"/>
          <w:sz w:val="20"/>
          <w:rFonts w:ascii="맑은 고딕" w:hAnsi="맑은 고딕" w:eastAsia="맑은 고딕" w:cs="맑은 고딕"/>
        </w:rPr>
        <w:t>2024-04-16 정식 릴리스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되었고, </w:t>
      </w:r>
      <w:r>
        <w:rPr>
          <w:b/>
          <w:i w:val="0"/>
          <w:sz w:val="20"/>
          <w:rFonts w:ascii="맑은 고딕" w:hAnsi="맑은 고딕" w:eastAsia="맑은 고딕" w:cs="맑은 고딕"/>
        </w:rPr>
        <w:t>AI Profile</w:t>
      </w: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과 </w:t>
      </w:r>
      <w:r>
        <w:rPr>
          <w:b/>
          <w:i w:val="0"/>
          <w:sz w:val="20"/>
          <w:rFonts w:ascii="맑은 고딕" w:hAnsi="맑은 고딕" w:eastAsia="맑은 고딕" w:cs="맑은 고딕"/>
        </w:rPr>
        <w:t>Dataset Profile</w:t>
      </w:r>
      <w:r>
        <w:rPr>
          <w:b w:val="0"/>
          <w:i w:val="0"/>
          <w:sz w:val="20"/>
          <w:rFonts w:ascii="맑은 고딕" w:hAnsi="맑은 고딕" w:eastAsia="맑은 고딕" w:cs="맑은 고딕"/>
        </w:rPr>
        <w:t>을 분리해 담았다 [14][15]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산업계·학계 워킹그룹이 모델 카드·데이터시트·팩트시트를 분석해 두 프로파일에 걸쳐 </w:t>
      </w:r>
      <w:r>
        <w:rPr>
          <w:b/>
          <w:i w:val="0"/>
          <w:sz w:val="20"/>
          <w:rFonts w:ascii="맑은 고딕" w:hAnsi="맑은 고딕" w:eastAsia="맑은 고딕" w:cs="맑은 고딕"/>
        </w:rPr>
        <w:t>36개 필드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를 선정 [14][15]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 xml:space="preserve">이 프레임워크는 </w:t>
      </w:r>
      <w:r>
        <w:rPr>
          <w:b/>
          <w:i w:val="0"/>
          <w:sz w:val="20"/>
          <w:rFonts w:ascii="맑은 고딕" w:hAnsi="맑은 고딕" w:eastAsia="맑은 고딕" w:cs="맑은 고딕"/>
        </w:rPr>
        <w:t>EU AI Act, FDA 의료기기 규제 등 규제 요건에 매핑</w:t>
      </w:r>
      <w:r>
        <w:rPr>
          <w:b w:val="0"/>
          <w:i w:val="0"/>
          <w:sz w:val="20"/>
          <w:rFonts w:ascii="맑은 고딕" w:hAnsi="맑은 고딕" w:eastAsia="맑은 고딕" w:cs="맑은 고딕"/>
        </w:rPr>
        <w:t>되도록 설계되었고, 기존 SPDX 툴체인과 호환된다 [14][15]</w:t>
      </w:r>
    </w:p>
    <w:p>
      <w:pPr>
        <w:pStyle w:val="ListBullet"/>
        <w:spacing w:after="60" w:line="312" w:lineRule="auto"/>
        <w:ind w:left="340"/>
      </w:pPr>
      <w:r>
        <w:rPr>
          <w:b w:val="0"/>
          <w:i w:val="0"/>
          <w:sz w:val="20"/>
          <w:rFonts w:ascii="맑은 고딕" w:hAnsi="맑은 고딕" w:eastAsia="맑은 고딕" w:cs="맑은 고딕"/>
        </w:rPr>
        <w:t>Linux Foundation Research가 실무 가이드를 공개 [14][16]</w:t>
      </w:r>
    </w:p>
    <w:p>
      <w:pPr>
        <w:spacing w:before="0" w:after="120"/>
      </w:pPr>
      <w:r>
        <w:rPr>
          <w:b w:val="0"/>
          <w:i w:val="0"/>
          <w:sz w:val="20"/>
          <w:rFonts w:ascii="맑은 고딕" w:hAnsi="맑은 고딕" w:eastAsia="맑은 고딕" w:cs="맑은 고딕"/>
        </w:rPr>
        <w:t>→ 발표의 표현은 정확하다. 스펙에는 데이터셋 계보를 담을 필드가 이미 있다. 없는 것은 그 필드를 채울 데이터이고, LG가 만든 것은 표준이 아니라 그 필드를 채우는 에이전트다. 다만 SPDX 3.0의 Dataset Profile은 「이 데이터셋이 무엇인가」를 기술하는 데는 충분하지만 「어디서 왔는가」를 재귀적으로 강제하지는 않는다 — 발표가 지목한 빈칸이 정확히 여기다.</w:t>
      </w:r>
    </w:p>
    <w:p>
      <w:r>
        <w:br w:type="page"/>
      </w:r>
    </w:p>
    <w:p>
      <w:pPr>
        <w:pStyle w:val="Heading1"/>
      </w:pPr>
      <w:r>
        <w:t>7. 우리 팀에서 바로 쓸 것</w:t>
      </w:r>
    </w:p>
    <w:p>
      <w:pPr>
        <w:pStyle w:val="Heading2"/>
      </w:pPr>
      <w:r>
        <w:t>7-1. 규제 데드라인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관할</w:t>
            </w:r>
          </w:p>
        </w:tc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근거</w:t>
            </w:r>
          </w:p>
        </w:tc>
        <w:tc>
          <w:tcPr>
            <w:tcW w:type="dxa" w:w="1984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시점</w:t>
            </w:r>
          </w:p>
        </w:tc>
        <w:tc>
          <w:tcPr>
            <w:tcW w:type="dxa" w:w="4252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요구 사항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한국</w:t>
            </w:r>
          </w:p>
        </w:tc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AI 기본법 + 시행령</w:t>
            </w:r>
          </w:p>
        </w:tc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2026-01-22 시행</w:t>
            </w:r>
          </w:p>
        </w:tc>
        <w:tc>
          <w:tcPr>
            <w:tcW w:type="dxa" w:w="425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고영향 AI·생성형 AI 기반이라는 사실의 사전 고지 등.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규제 적용은 최소 1년 이상 유예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되며 유예 기간에는 계도 중심 운영 [17][18]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EU</w:t>
            </w:r>
          </w:p>
        </w:tc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AI Act 제53조(1)(d)</w:t>
            </w:r>
          </w:p>
        </w:tc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의무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2025-08-02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, 집행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2026-08-02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, 기존 모델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2027-08-02</w:t>
            </w:r>
          </w:p>
        </w:tc>
        <w:tc>
          <w:tcPr>
            <w:tcW w:type="dxa" w:w="425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AI Office 공식 템플릿(2025-07-24 공개)으로 학습 콘텐츠 요약 공개.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오픈소스·무료 라이선스 모델도 대상.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위반 시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최대 1,500만 유로 또는 전 세계 매출 3%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중 큰 금액 [19][20][21]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미국(캘리포니아)</w:t>
            </w:r>
          </w:p>
        </w:tc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AB 2013</w:t>
            </w:r>
          </w:p>
        </w:tc>
        <w:tc>
          <w:tcPr>
            <w:tcW w:type="dxa" w:w="1984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2026-01-01 시행</w:t>
            </w:r>
          </w:p>
        </w:tc>
        <w:tc>
          <w:tcPr>
            <w:tcW w:type="dxa" w:w="4252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2022-01-01 이후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공개된 생성형 AI에 대해 학습 데이터셋 요약을 웹사이트에 사전 게시, 중대 변경 시 갱신.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12개 항목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(출처·소유자, 데이터 포인트 수, 저작물·개인정보 포함 여부 등).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영업비밀 예외 없음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→ xAI가 위헌 소송 제기 [22][23][24]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한국(저작권법)</w:t>
            </w:r>
          </w:p>
        </w:tc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TDM 면책 조항</w:t>
            </w:r>
          </w:p>
        </w:tc>
        <w:tc>
          <w:tcPr>
            <w:tcW w:type="dxa" w:w="1984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미입법</w:t>
            </w:r>
          </w:p>
        </w:tc>
        <w:tc>
          <w:tcPr>
            <w:tcW w:type="dxa" w:w="4252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AI 학습 목적 복제를 조건부 허용하는 개정안이 발의됐으나 국회 미통과. 한편 문체부는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학습데이터 목록 공개 의무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를 포함한 개정을 예고 [25][26]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left w:val="single" w:sz="24" w:space="0" w:color="B0302E"/>
              <w:top w:val="single" w:sz="4" w:space="0" w:color="FDF3E7"/>
              <w:bottom w:val="single" w:sz="4" w:space="0" w:color="FDF3E7"/>
              <w:right w:val="single" w:sz="4" w:space="0" w:color="FDF3E7"/>
            </w:tcBorders>
            <w:shd w:val="clear" w:color="auto" w:fill="FDF3E7"/>
          </w:tcPr>
          <w:p>
            <w:pPr>
              <w:spacing w:before="120" w:after="120"/>
              <w:ind w:left="142"/>
            </w:pPr>
            <w:r>
              <w:rPr>
                <w:b/>
                <w:i w:val="0"/>
                <w:sz w:val="20"/>
                <w:rFonts w:ascii="맑은 고딕" w:hAnsi="맑은 고딕" w:eastAsia="맑은 고딕" w:cs="맑은 고딕"/>
              </w:rPr>
              <w:t>여기서 발표의 논지가 강화된다 — EU는 「요약을 공개하라」, 캘리포니아는 「출처·소유자·저작물 포함 여부를 12개 항목으로 공개하라」고 한다. 그런데 UltraFeedback을 끝까지 추적해야 그 답이 A-3이 아니라 C-2라는 걸 알 수 있다. 즉 추적 없이는 공시 자체가 부정확한 진술이 된다.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실행 체크리스트</w:t>
      </w:r>
    </w:p>
    <w:p>
      <w:pPr>
        <w:spacing w:before="120" w:after="40"/>
      </w:pPr>
      <w:r>
        <w:rPr>
          <w:b/>
          <w:i w:val="0"/>
          <w:color w:val="1F3B73"/>
          <w:sz w:val="21"/>
          <w:rFonts w:ascii="맑은 고딕" w:hAnsi="맑은 고딕" w:eastAsia="맑은 고딕" w:cs="맑은 고딕"/>
        </w:rPr>
        <w:t>1. 라벨을 그대로 믿지 않는다</w:t>
      </w:r>
    </w:p>
    <w:p>
      <w:pPr>
        <w:spacing w:before="0" w:after="40"/>
        <w:ind w:left="283"/>
      </w:pPr>
      <w:r>
        <w:rPr>
          <w:b w:val="0"/>
          <w:i w:val="0"/>
          <w:sz w:val="19"/>
          <w:rFonts w:ascii="맑은 고딕" w:hAnsi="맑은 고딕" w:eastAsia="맑은 고딕" w:cs="맑은 고딕"/>
        </w:rPr>
        <w:t>MIT·Apache·CC-BY 같은 최상단 라벨과 실제 상속 리스크는 다를 수 있다. 근거는 LG 하나가 아니다 — DPI 감사에서 허깅페이스 라이선스의 66%가 오분류, 그것도 더 관대한 쪽으로.</w:t>
      </w:r>
    </w:p>
    <w:p>
      <w:pPr>
        <w:spacing w:before="120" w:after="40"/>
      </w:pPr>
      <w:r>
        <w:rPr>
          <w:b/>
          <w:i w:val="0"/>
          <w:color w:val="1F3B73"/>
          <w:sz w:val="21"/>
          <w:rFonts w:ascii="맑은 고딕" w:hAnsi="맑은 고딕" w:eastAsia="맑은 고딕" w:cs="맑은 고딕"/>
        </w:rPr>
        <w:t>2. 벤더 계약서에 학습데이터 고지 조항을 넣는다</w:t>
      </w:r>
    </w:p>
    <w:p>
      <w:pPr>
        <w:spacing w:before="0" w:after="40"/>
        <w:ind w:left="283"/>
      </w:pPr>
      <w:r>
        <w:rPr>
          <w:b w:val="0"/>
          <w:i w:val="0"/>
          <w:sz w:val="19"/>
          <w:rFonts w:ascii="맑은 고딕" w:hAnsi="맑은 고딕" w:eastAsia="맑은 고딕" w:cs="맑은 고딕"/>
        </w:rPr>
        <w:t>출처 · 라이선스 · 취득 방법 · 용도. 표준 언어로 SPDX 3.0 AI/Dataset Profile(36개 필드)을 지목하면 협상이 쉬워진다.</w:t>
      </w:r>
    </w:p>
    <w:p>
      <w:pPr>
        <w:spacing w:before="120" w:after="40"/>
      </w:pPr>
      <w:r>
        <w:rPr>
          <w:b/>
          <w:i w:val="0"/>
          <w:color w:val="1F3B73"/>
          <w:sz w:val="21"/>
          <w:rFonts w:ascii="맑은 고딕" w:hAnsi="맑은 고딕" w:eastAsia="맑은 고딕" w:cs="맑은 고딕"/>
        </w:rPr>
        <w:t>3. 규제 캘린더를 데드라인으로 관리한다</w:t>
      </w:r>
    </w:p>
    <w:p>
      <w:pPr>
        <w:spacing w:before="0" w:after="40"/>
        <w:ind w:left="283"/>
      </w:pPr>
      <w:r>
        <w:rPr>
          <w:b w:val="0"/>
          <w:i w:val="0"/>
          <w:sz w:val="19"/>
          <w:rFonts w:ascii="맑은 고딕" w:hAnsi="맑은 고딕" w:eastAsia="맑은 고딕" w:cs="맑은 고딕"/>
        </w:rPr>
        <w:t>한국 2026-01-22(유예 1년+), EU 집행 2026-08-02, 캘리포니아 2026-01-01. 오픈소스로 배포해도 EU 의무는 면제되지 않는다.</w:t>
      </w:r>
    </w:p>
    <w:p>
      <w:pPr>
        <w:spacing w:before="120" w:after="40"/>
      </w:pPr>
      <w:r>
        <w:rPr>
          <w:b/>
          <w:i w:val="0"/>
          <w:color w:val="1F3B73"/>
          <w:sz w:val="21"/>
          <w:rFonts w:ascii="맑은 고딕" w:hAnsi="맑은 고딕" w:eastAsia="맑은 고딕" w:cs="맑은 고딕"/>
        </w:rPr>
        <w:t>4. 「인기 = 안전」이 아님을 팀 규칙으로 못 박는다</w:t>
      </w:r>
    </w:p>
    <w:p>
      <w:pPr>
        <w:spacing w:before="0" w:after="40"/>
        <w:ind w:left="283"/>
      </w:pPr>
      <w:r>
        <w:rPr>
          <w:b w:val="0"/>
          <w:i w:val="0"/>
          <w:sz w:val="19"/>
          <w:rFonts w:ascii="맑은 고딕" w:hAnsi="맑은 고딕" w:eastAsia="맑은 고딕" w:cs="맑은 고딕"/>
        </w:rPr>
        <w:t>허깅페이스의 Most Downloaded / Most Liked는 벤치마크 성능 신호이지 법적 안전 신호가 아니다.</w:t>
      </w:r>
    </w:p>
    <w:p>
      <w:pPr>
        <w:spacing w:before="120" w:after="40"/>
      </w:pPr>
      <w:r>
        <w:rPr>
          <w:b/>
          <w:i w:val="0"/>
          <w:color w:val="1F3B73"/>
          <w:sz w:val="21"/>
          <w:rFonts w:ascii="맑은 고딕" w:hAnsi="맑은 고딕" w:eastAsia="맑은 고딕" w:cs="맑은 고딕"/>
        </w:rPr>
        <w:t>5. 취득 방법을 기록 항목으로 승격한다</w:t>
      </w:r>
    </w:p>
    <w:p>
      <w:pPr>
        <w:spacing w:before="0" w:after="40"/>
        <w:ind w:left="283"/>
      </w:pPr>
      <w:r>
        <w:rPr>
          <w:b w:val="0"/>
          <w:i w:val="0"/>
          <w:sz w:val="19"/>
          <w:rFonts w:ascii="맑은 고딕" w:hAnsi="맑은 고딕" w:eastAsia="맑은 고딕" w:cs="맑은 고딕"/>
        </w:rPr>
        <w:t>Bartz가 증명한 것은 「학습했는가」가 아니라 「어떻게 취득했는가가 배상액의 크기를 정한다」는 것. 데이터 수집 파이프라인에 「어디서, 어떤 권한으로 받았는가」를 남기는 로깅이 사후 방어의 유일한 증거다.</w:t>
      </w:r>
    </w:p>
    <w:p>
      <w:pPr>
        <w:spacing w:before="120" w:after="40"/>
      </w:pPr>
      <w:r>
        <w:rPr>
          <w:b/>
          <w:i w:val="0"/>
          <w:color w:val="1F3B73"/>
          <w:sz w:val="21"/>
          <w:rFonts w:ascii="맑은 고딕" w:hAnsi="맑은 고딕" w:eastAsia="맑은 고딕" w:cs="맑은 고딕"/>
        </w:rPr>
        <w:t>6. 추적은 자동화하되, 판단은 사람이 한다</w:t>
      </w:r>
    </w:p>
    <w:p>
      <w:pPr>
        <w:spacing w:before="0" w:after="40"/>
        <w:ind w:left="283"/>
      </w:pPr>
      <w:r>
        <w:rPr>
          <w:b w:val="0"/>
          <w:i w:val="0"/>
          <w:sz w:val="19"/>
          <w:rFonts w:ascii="맑은 고딕" w:hAnsi="맑은 고딕" w:eastAsia="맑은 고딕" w:cs="맑은 고딕"/>
        </w:rPr>
        <w:t>LG의 방식이 그대로 참고 모델이다 — 에이전트로 재귀 추적(수작업 대비 45배, 전문가 대비 26% 더 정확), 최종 의사결정권은 인간. 판단까지 자동화하면 그 판단 자체가 새로운 미기록 리스크가 된다.</w:t>
      </w:r>
    </w:p>
    <w:p>
      <w:pPr>
        <w:pStyle w:val="Heading2"/>
      </w:pPr>
      <w:r>
        <w:t>7-3. 무신사 세션(같은 날)과 이어 읽기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</w:r>
          </w:p>
        </w:tc>
        <w:tc>
          <w:tcPr>
            <w:tcW w:type="dxa" w:w="396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무신사 (길기용)</w:t>
            </w:r>
          </w:p>
        </w:tc>
        <w:tc>
          <w:tcPr>
            <w:tcW w:type="dxa" w:w="3969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LG AI연구원 (조정원)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관점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도입 판단 — 살까 / 만들까 / 안 할까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공급망 신뢰 — 무엇으로 만들어졌는지 증명 가능한가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언제 기록하나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시작 전에 「멈출 기준」을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계약서보다 먼저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학습 전에 데이터 계보를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문장이 아닌 그래프로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자동화한 것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판단이 아니라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검증 절차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(가드레일 지표)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판단이 아니라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추적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(에이전트)</w:t>
            </w:r>
          </w:p>
        </w:tc>
      </w:tr>
      <w:tr>
        <w:tc>
          <w:tcPr>
            <w:tcW w:type="dxa" w:w="170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자동화하지 않은 것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환불·보상 판정, 분쟁 소지 확인 → 100% 사람</w:t>
            </w:r>
          </w:p>
        </w:tc>
        <w:tc>
          <w:tcPr>
            <w:tcW w:type="dxa" w:w="3969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최종 법적 판단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→ 100% 사람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공통점</w:t>
            </w:r>
          </w:p>
        </w:tc>
        <w:tc>
          <w:tcPr>
            <w:tcW w:type="dxa" w:w="7938"/>
            <w:gridSpan w:val="2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둘 다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「기록되지 않은 것은 판단할 수 없다」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— 사후 논쟁을 없애기 위해 사전에 기준·기록을 문서로 확정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5A606A"/>
          <w:sz w:val="19"/>
          <w:rFonts w:ascii="맑은 고딕" w:hAnsi="맑은 고딕" w:eastAsia="맑은 고딕" w:cs="맑은 고딕"/>
        </w:rPr>
        <w:t>→ 무신사가 외부 업체 계약에 건 조건 ③ 「어떤 LLM으로 바꾸더라도 돌아가는 구조」는 벤더 종속 방지책이지만, LG의 관점에서 읽으면 모델 계보를 우리가 통제하겠다는 선언이기도 하다. 반대로 LG가 말한 「구매 부서는 이제 SBOM을 요구하듯 데이터 출처를 요구한다」는, 무신사식 TCO 계산서에 새 비용 항목이 하나 추가된다는 뜻이다 — 벤더의 학습데이터 계보를 검증하는 비용.</w:t>
      </w:r>
    </w:p>
    <w:p>
      <w:r>
        <w:br w:type="page"/>
      </w:r>
    </w:p>
    <w:p>
      <w:pPr>
        <w:pStyle w:val="Heading1"/>
      </w:pPr>
      <w:r>
        <w:t>8. 인용할 때 주의할 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7087"/>
            <w:shd w:val="clear" w:color="auto" w:fill="1F3B73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8"/>
                <w:rFonts w:ascii="맑은 고딕" w:hAnsi="맑은 고딕" w:eastAsia="맑은 고딕" w:cs="맑은 고딕"/>
              </w:rPr>
              <w:t>주의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GEMA v. Suno 독일 판결(2026)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웹 검색으로 확인하지 못했다.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 인용 시 「발표자 언급」 단서를 달 것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Thomson Reuters v. ROSS</w:t>
            </w:r>
          </w:p>
        </w:tc>
        <w:tc>
          <w:tcPr>
            <w:tcW w:type="dxa" w:w="708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1심은 원고 승이지만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제3연방항소법원 항소 진행 중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(2026-07 구두변론). 「확정된 법리」로 인용하면 안 된다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Getty Images v. Stability AI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「AI사가 이겼다」보다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「Getty가 두 개의 핵심 주장을 스스로 철회했고 남은 2차적 침해 주장도 기각됐다」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가 정확하다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2,852 → 605 (21.2%)</w:t>
            </w:r>
          </w:p>
        </w:tc>
        <w:tc>
          <w:tcPr>
            <w:tcW w:type="dxa" w:w="708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LG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자체 추적 결과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이며 방법론이 공개되지 않았다. 다만 Data Provenance Initiative의 독립 감사가 같은 방향을 가리킨다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분쟁 130~150건 / 100건 이상 진행 중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발표자 집계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. 공개 통계로 교차 확인하지 못했다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리스크 등급 분포 (A-1~C-2)</w:t>
            </w:r>
          </w:p>
        </w:tc>
        <w:tc>
          <w:tcPr>
            <w:tcW w:type="dxa" w:w="7087"/>
            <w:shd w:val="clear" w:color="auto" w:fill="EEF1F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PDF 텍스트 추출 시 두 계열의 숫자가 뒤섞여 나온다. 인용하려면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원본 슬라이드 p.22 이미지를 직접 확인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할 것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88" w:lineRule="auto"/>
            </w:pP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평가 기준 개수</w:t>
            </w:r>
          </w:p>
        </w:tc>
        <w:tc>
          <w:tcPr>
            <w:tcW w:type="dxa" w:w="7087"/>
          </w:tcPr>
          <w:p>
            <w:pPr>
              <w:spacing w:before="40" w:after="40" w:line="288" w:lineRule="auto"/>
            </w:pP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발표 슬라이드는 UltraFeedback 스코어링에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14개 기준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 xml:space="preserve">, 공개 자료는 데이터 컴플라이언스 </w:t>
            </w:r>
            <w:r>
              <w:rPr>
                <w:b/>
                <w:i w:val="0"/>
                <w:sz w:val="18"/>
                <w:rFonts w:ascii="맑은 고딕" w:hAnsi="맑은 고딕" w:eastAsia="맑은 고딕" w:cs="맑은 고딕"/>
              </w:rPr>
              <w:t>18개 기준</w:t>
            </w:r>
            <w:r>
              <w:rPr>
                <w:b w:val="0"/>
                <w:i w:val="0"/>
                <w:sz w:val="18"/>
                <w:rFonts w:ascii="맑은 고딕" w:hAnsi="맑은 고딕" w:eastAsia="맑은 고딕" w:cs="맑은 고딕"/>
              </w:rPr>
              <w:t>을 말한다. 서로 다른 시점/층위로 보이므로 인용 시 출처를 명시할 것</w:t>
            </w:r>
          </w:p>
        </w:tc>
      </w:tr>
    </w:tbl>
    <w:p>
      <w:pPr>
        <w:spacing w:after="40"/>
      </w:pPr>
    </w:p>
    <w:p>
      <w:pPr>
        <w:spacing w:before="80" w:after="160"/>
        <w:pBdr>
          <w:bottom w:val="single" w:sz="6" w:space="1" w:color="C6CCD8"/>
        </w:pBdr>
      </w:pPr>
    </w:p>
    <w:p>
      <w:pPr>
        <w:pStyle w:val="Heading2"/>
      </w:pPr>
      <w:r>
        <w:t>출처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[1] What to Know About the $1.5 Billion Bartz v. Anthropic Settlement — Copyright Alliance  https://copyrightalliance.org/participating-bartz-v-anthropic-settlement/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[2] Bartz v. Anthropic Settlement: What Authors Need to Know — The Authors Guild  https://authorsguild.org/advocacy/artificial-intelligence/what-authors-need-to-know-about-the-anthropic-settlement/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[3] The Bartz v. Anthropic Settlement — Kluwer Copyright Blog  https://legalblogs.wolterskluwer.com/copyright-blog/the-bartz-v-anthropic-settlement-understanding-americas-largest-copyright-settlement/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[4] GEMA vs. OpenAI: Landmark ruling — Heuking  https://www.heuking.de/en/news-events/newsletter-articles/detail/gema-vs-openai-landmark-ruling-on-ai-language-models-and-copyright-law.html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[5] Landmark ruling of the Munich Regional Court (GEMA v OpenAI) — Bird &amp; Bird  https://www.twobirds.com/en/insights/2025/landmark-ruling-of-the-munich-regional-court-(gema-v-openai)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[6] German court rules in favour of GEMA against OpenAI — EU IP Helpdesk  https://intellectual-property-helpdesk.ec.europa.eu/news-events/news/german-court-rules-favour-music-rights-management-organisation-against-openai-nyt-vs-openai-dispute-2025-11-14_en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[7] Stability AI defeats Getty Images copyright claims — Bird &amp; Bird  https://www.twobirds.com/en/insights/2025/uk/stability-ai-defeats-getty-images-copyright-claims-in-first-of-its-kind-dispute-before-the-high-cour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[8] Getty Images v. Stability AI: English High Court Rejects Secondary Copyright Claim — Latham &amp; Watkins  https://www.lw.com/en/insights/getty-images-v-stability-ai-english-high-court-rejects-secondary-copyright-claim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[9] Court Decides that Use of Copyrighted Works in AI Training Is Not Fair Use — Jenner &amp; Block  https://www.jenner.com/en/news-insights/client-alerts/court-decides-that-use-of-copyrighted-works-in-ai-training-is-not-fair-use-thomson-reuters-enterprise-centre-gmbh-v-ross-intelligence-inc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[10] Third Circuit Hears Oral Argument in Ross v. Reuters — Baker Botts  https://www.bakerbotts.com/thought-leadership/publications/2026/july/third-circuit-hears-oral-argument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[11] LG AI연구원, 7500억개 파라미터 'K-엑사원 2.0' 공개 — 천지일보  https://www.newscj.com/news/articleView.html?idxno=3421513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[12] The Data Provenance Initiative: A Large Scale Audit of Dataset Licensing &amp; Attribution in AI (arXiv:2310.16787)  https://arxiv.org/pdf/2310.16787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[13] A large-scale audit of dataset licensing and attribution in AI — Nature Machine Intelligence  https://www.nature.com/articles/s42256-024-00878-8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[14] Implementing AI Bill of Materials (AI BOM) with SPDX 3.0 — Linux Foundation Research  https://www.linuxfoundation.org/hubfs/LF%20Research/lfr_spdx_aibom_102524a.pdf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[15] Implementing AI BOM with SPDX 3.0 — 논문 개요 (alphaXiv 2504.16743)  https://www.alphaxiv.org/overview/2504.16743v1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[16] Implementing an AI BOM — SPDX  https://spdx.dev/implementing-an-ai-bom/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[17] AI 기본법 시행과 그 시사점 — 법률신문 / 법무법인 세종  https://www.lawtimes.co.kr/news/articleView.html?idxno=216500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[18] 인공지능 발전과 신뢰 기반 조성 등에 관한 기본법 — 국가법령정보센터  https://www.law.go.kr/lsInfoP.do?lsiSeq=268543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[19] European Commission Releases Mandatory Template for Public Disclosure of AI Training Data — WilmerHale  https://www.wilmerhale.com/en/insights/blogs/wilmerhale-privacy-and-cybersecurity-law/european-commission-releases-mandatory-template-for-public-disclosure-of-ai-training-data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[20] EU AI Act News: Rules on General-Purpose AI Start Applying — Mayer Brown  https://www.mayerbrown.com/en/insights/publications/2025/08/eu-ai-act-news-rules-on-general-purpose-ai-start-applying-guidelines-and-template-for-summary-of-training-data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[21] EU Commission Publishes Guidelines on General Purpose AI Obligations — Paul, Weiss  https://www.paulweiss.com/insights/client-memos/eu-commission-publishes-guidelines-on-general-purpose-ai-obligations-as-well-as-training-data-disclosure-template-further-clarity-as-the-countdown-to-enforcement-begins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[22] California's AB 2013 Takes Effect — Goodwin  https://www.goodwinlaw.com/en/insights/publications/2026/01/alerts-otherindustries-californias-ab-2013-takes-effect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[23] Generative AI Training Data Transparency Act (AB 2013) — California Legislative Information  https://leginfo.legislature.ca.gov/faces/billTextClient.xhtml?bill_id=202320240AB2013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[24] California's AB 2013 Requires Generative AI Data Disclosure by January 1, 2026 — Crowell &amp; Moring  https://www.crowell.com/en/insights/client-alerts/californias-ab-2013-requires-generative-ai-data-disclosure-by-january-1-2026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[25] AI 학습데이터 저작권 침해와 저작권법 상의 TDM 조항 도입 논의 — NEPLA  https://www.nepla.ai/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[26] 저작권법상 텍스트·데이터 마이닝(TDM) 면책규정 도입 방향의 검토 — 류시원, 법무부  https://www.moj.go.kr/bbs/moj/166/450511/download.do</w:t>
      </w:r>
    </w:p>
    <w:p>
      <w:pPr>
        <w:spacing w:before="0" w:after="40"/>
        <w:ind w:left="170"/>
      </w:pPr>
      <w:r>
        <w:rPr>
          <w:b w:val="0"/>
          <w:i w:val="0"/>
          <w:color w:val="5A606A"/>
          <w:sz w:val="17"/>
          <w:rFonts w:ascii="맑은 고딕" w:hAnsi="맑은 고딕" w:eastAsia="맑은 고딕" w:cs="맑은 고딕"/>
        </w:rPr>
        <w:t>[27] AI 거버넌스의 패러다임 변화와 LG AI연구원의 선도적 역할 — 공개SW포털  https://www.oss.kr/pages/11/4418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06A"/>
        <w:sz w:val="16"/>
        <w:rFonts w:ascii="맑은 고딕" w:hAnsi="맑은 고딕" w:eastAsia="맑은 고딕" w:cs="맑은 고딕"/>
      </w:rPr>
      <w:t xml:space="preserve">AI Infrastructure &amp; Data 2026 · LG AI연구원 세션 정리  |  </w:t>
    </w:r>
    <w:r>
      <w:rPr>
        <w:color w:val="5A606A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C2C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