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b/>
          <w:i w:val="0"/>
          <w:color w:val="5A606A"/>
          <w:sz w:val="18"/>
          <w:rFonts w:ascii="맑은 고딕" w:hAnsi="맑은 고딕" w:eastAsia="맑은 고딕" w:cs="맑은 고딕"/>
        </w:rPr>
        <w:t>AI Infrastructure &amp; Data 2026 · Closing Keynote 2 · 세션 정리</w:t>
      </w:r>
    </w:p>
    <w:p>
      <w:pPr>
        <w:spacing w:before="0" w:after="80"/>
      </w:pPr>
      <w:r>
        <w:rPr>
          <w:b/>
          <w:i w:val="0"/>
          <w:color w:val="1F3B73"/>
          <w:sz w:val="44"/>
          <w:rFonts w:ascii="맑은 고딕" w:hAnsi="맑은 고딕" w:eastAsia="맑은 고딕" w:cs="맑은 고딕"/>
        </w:rPr>
        <w:t>AI 학습데이터의 국내외 분쟁 동향과 추적가능 컴플라이언스</w:t>
      </w:r>
    </w:p>
    <w:p>
      <w:pPr>
        <w:spacing w:before="0" w:after="20"/>
      </w:pPr>
      <w:r>
        <w:rPr>
          <w:b w:val="0"/>
          <w:i w:val="0"/>
          <w:color w:val="5A606A"/>
          <w:sz w:val="23"/>
          <w:rFonts w:ascii="맑은 고딕" w:hAnsi="맑은 고딕" w:eastAsia="맑은 고딕" w:cs="맑은 고딕"/>
        </w:rPr>
        <w:t>AI-BOM 기반 데이터 공급망 관리</w:t>
      </w:r>
    </w:p>
    <w:p>
      <w:pPr>
        <w:spacing w:before="0" w:after="200"/>
      </w:pPr>
      <w:r>
        <w:rPr>
          <w:b w:val="0"/>
          <w:i w:val="0"/>
          <w:color w:val="5A606A"/>
          <w:sz w:val="23"/>
          <w:rFonts w:ascii="맑은 고딕" w:hAnsi="맑은 고딕" w:eastAsia="맑은 고딕" w:cs="맑은 고딕"/>
        </w:rPr>
        <w:t>We must open up not just the technology itself, but the hidden risks within it.</w:t>
      </w:r>
    </w:p>
    <w:p>
      <w:pPr>
        <w:spacing w:before="80" w:after="160"/>
        <w:pBdr>
          <w:bottom w:val="single" w:sz="6" w:space="1" w:color="C6CCD8"/>
        </w:pBdr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1814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항목</w:t>
            </w:r>
          </w:p>
        </w:tc>
        <w:tc>
          <w:tcPr>
            <w:tcW w:type="dxa" w:w="7824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내용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88" w:lineRule="auto"/>
            </w:pPr>
            <w:r>
              <w:rPr>
                <w:b/>
                <w:sz w:val="19"/>
                <w:rFonts w:ascii="맑은 고딕" w:hAnsi="맑은 고딕" w:eastAsia="맑은 고딕" w:cs="맑은 고딕"/>
              </w:rPr>
              <w:t>행사</w:t>
            </w:r>
          </w:p>
        </w:tc>
        <w:tc>
          <w:tcPr>
            <w:tcW w:type="dxa" w:w="7824"/>
          </w:tcPr>
          <w:p>
            <w:pPr>
              <w:spacing w:before="40" w:after="40" w:line="288" w:lineRule="auto"/>
            </w:pPr>
            <w:r>
              <w:rPr>
                <w:b w:val="0"/>
                <w:sz w:val="19"/>
                <w:rFonts w:ascii="맑은 고딕" w:hAnsi="맑은 고딕" w:eastAsia="맑은 고딕" w:cs="맑은 고딕"/>
              </w:rPr>
              <w:t>AI Infrastructure &amp; Data 2026 (CIO Korea / ITWORLD)</w:t>
            </w:r>
          </w:p>
        </w:tc>
      </w:tr>
      <w:tr>
        <w:tc>
          <w:tcPr>
            <w:tcW w:type="dxa" w:w="1814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sz w:val="19"/>
                <w:rFonts w:ascii="맑은 고딕" w:hAnsi="맑은 고딕" w:eastAsia="맑은 고딕" w:cs="맑은 고딕"/>
              </w:rPr>
              <w:t>일시·장소</w:t>
            </w:r>
          </w:p>
        </w:tc>
        <w:tc>
          <w:tcPr>
            <w:tcW w:type="dxa" w:w="7824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sz w:val="19"/>
                <w:rFonts w:ascii="맑은 고딕" w:hAnsi="맑은 고딕" w:eastAsia="맑은 고딕" w:cs="맑은 고딕"/>
              </w:rPr>
              <w:t>2026년 9월 2일(수) · 서울 드래곤시티 그랜드볼룸 한라(3F)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88" w:lineRule="auto"/>
            </w:pPr>
            <w:r>
              <w:rPr>
                <w:b/>
                <w:sz w:val="19"/>
                <w:rFonts w:ascii="맑은 고딕" w:hAnsi="맑은 고딕" w:eastAsia="맑은 고딕" w:cs="맑은 고딕"/>
              </w:rPr>
              <w:t>발표</w:t>
            </w:r>
          </w:p>
        </w:tc>
        <w:tc>
          <w:tcPr>
            <w:tcW w:type="dxa" w:w="7824"/>
          </w:tcPr>
          <w:p>
            <w:pPr>
              <w:spacing w:before="40" w:after="40" w:line="288" w:lineRule="auto"/>
            </w:pPr>
            <w:r>
              <w:rPr>
                <w:b w:val="0"/>
                <w:sz w:val="19"/>
                <w:rFonts w:ascii="맑은 고딕" w:hAnsi="맑은 고딕" w:eastAsia="맑은 고딕" w:cs="맑은 고딕"/>
              </w:rPr>
              <w:t>조정원 — Legal &amp; Compliance Team Lead, LG AI연구원</w:t>
            </w:r>
          </w:p>
        </w:tc>
      </w:tr>
      <w:tr>
        <w:tc>
          <w:tcPr>
            <w:tcW w:type="dxa" w:w="1814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sz w:val="19"/>
                <w:rFonts w:ascii="맑은 고딕" w:hAnsi="맑은 고딕" w:eastAsia="맑은 고딕" w:cs="맑은 고딕"/>
              </w:rPr>
              <w:t>첨부 자료</w:t>
            </w:r>
          </w:p>
        </w:tc>
        <w:tc>
          <w:tcPr>
            <w:tcW w:type="dxa" w:w="7824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sz w:val="19"/>
                <w:rFonts w:ascii="맑은 고딕" w:hAnsi="맑은 고딕" w:eastAsia="맑은 고딕" w:cs="맑은 고딕"/>
              </w:rPr>
              <w:t>Closing_Keynote_2_LG_AI.pdf (29페이지)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88" w:lineRule="auto"/>
            </w:pPr>
            <w:r>
              <w:rPr>
                <w:b/>
                <w:sz w:val="19"/>
                <w:rFonts w:ascii="맑은 고딕" w:hAnsi="맑은 고딕" w:eastAsia="맑은 고딕" w:cs="맑은 고딕"/>
              </w:rPr>
              <w:t>정리 범위</w:t>
            </w:r>
          </w:p>
        </w:tc>
        <w:tc>
          <w:tcPr>
            <w:tcW w:type="dxa" w:w="7824"/>
          </w:tcPr>
          <w:p>
            <w:pPr>
              <w:spacing w:before="40" w:after="40" w:line="288" w:lineRule="auto"/>
            </w:pPr>
            <w:r>
              <w:rPr>
                <w:b w:val="0"/>
                <w:sz w:val="19"/>
                <w:rFonts w:ascii="맑은 고딕" w:hAnsi="맑은 고딕" w:eastAsia="맑은 고딕" w:cs="맑은 고딕"/>
              </w:rPr>
              <w:t>배포 슬라이드 + 발표 현장 녹취 + 외부 웹 리서치(2026-09-07 기준)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b/>
          <w:i w:val="0"/>
          <w:color w:val="1F3B73"/>
          <w:sz w:val="22"/>
          <w:rFonts w:ascii="맑은 고딕" w:hAnsi="맑은 고딕" w:eastAsia="맑은 고딕" w:cs="맑은 고딕"/>
        </w:rPr>
        <w:t>한 줄 요약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left w:val="single" w:sz="24" w:space="0" w:color="1F3B73"/>
              <w:top w:val="single" w:sz="4" w:space="0" w:color="F5F6F8"/>
              <w:bottom w:val="single" w:sz="4" w:space="0" w:color="F5F6F8"/>
              <w:right w:val="single" w:sz="4" w:space="0" w:color="F5F6F8"/>
            </w:tcBorders>
            <w:shd w:val="clear" w:color="auto" w:fill="F5F6F8"/>
          </w:tcPr>
          <w:p>
            <w:pPr>
              <w:spacing w:before="120" w:after="120"/>
              <w:ind w:left="142"/>
            </w:pPr>
            <w:r>
              <w:rPr>
                <w:b/>
                <w:i w:val="0"/>
                <w:sz w:val="25"/>
                <w:rFonts w:ascii="맑은 고딕" w:hAnsi="맑은 고딕" w:eastAsia="맑은 고딕" w:cs="맑은 고딕"/>
              </w:rPr>
              <w:t>신뢰는 한 번도 맹목적인 믿음이었던 적이 없습니다. 언제나 「보이는가」의 문제였습니다.</w:t>
            </w:r>
          </w:p>
        </w:tc>
      </w:tr>
    </w:tbl>
    <w:p>
      <w:pPr>
        <w:spacing w:after="40"/>
      </w:pPr>
    </w:p>
    <w:p>
      <w:pPr>
        <w:spacing w:before="0" w:after="120"/>
      </w:pPr>
      <w:r>
        <w:rPr>
          <w:b w:val="0"/>
          <w:i w:val="0"/>
          <w:sz w:val="20"/>
          <w:rFonts w:ascii="맑은 고딕" w:hAnsi="맑은 고딕" w:eastAsia="맑은 고딕" w:cs="맑은 고딕"/>
        </w:rPr>
        <w:t>SBOM이 코드의 투명성을 풀었듯, AI-BOM은 학습 데이터의 계보를 풀어야 한다. 그런데 AI 구성요소 세 가지(베이스 모델 아키텍처 / 파라미터·가중치 / 학습 데이터셋) 중 두 가지는 코드에 아무 흔적도 남기지 않는다.</w:t>
      </w:r>
    </w:p>
    <w:p>
      <w:pPr>
        <w:spacing w:before="80" w:after="160"/>
        <w:pBdr>
          <w:bottom w:val="single" w:sz="6" w:space="1" w:color="C6CCD8"/>
        </w:pBdr>
      </w:pPr>
    </w:p>
    <w:p>
      <w:pPr>
        <w:spacing w:before="0" w:after="80"/>
      </w:pPr>
      <w:r>
        <w:rPr>
          <w:b/>
          <w:i w:val="0"/>
          <w:color w:val="1F3B73"/>
          <w:sz w:val="20"/>
          <w:rFonts w:ascii="맑은 고딕" w:hAnsi="맑은 고딕" w:eastAsia="맑은 고딕" w:cs="맑은 고딕"/>
        </w:rPr>
        <w:t xml:space="preserve">이 문서를 읽는 법  </w:t>
      </w:r>
      <w:r>
        <w:rPr>
          <w:b w:val="0"/>
          <w:i w:val="0"/>
          <w:sz w:val="19"/>
          <w:rFonts w:ascii="맑은 고딕" w:hAnsi="맑은 고딕" w:eastAsia="맑은 고딕" w:cs="맑은 고딕"/>
        </w:rPr>
        <w:t xml:space="preserve">1~5장은 발표 내용, 6장은 외부 근거로 붙인 맥락과 팩트체크, 7장은 우리 팀 체크리스트와 규제 데드라인, 8장은 인용 시 주의사항입니다. </w:t>
      </w:r>
      <w:r>
        <w:rPr>
          <w:b/>
          <w:i w:val="0"/>
          <w:color w:val="B0302E"/>
          <w:sz w:val="19"/>
          <w:rFonts w:ascii="맑은 고딕" w:hAnsi="맑은 고딕" w:eastAsia="맑은 고딕" w:cs="맑은 고딕"/>
        </w:rPr>
        <w:t>판례·규제 일정은 모두 1차 자료로 교차 검증했고, 검증하지 못한 항목은 8장에 따로 적었습니다.</w:t>
      </w:r>
    </w:p>
    <w:p>
      <w:r>
        <w:br w:type="page"/>
      </w:r>
    </w:p>
    <w:p>
      <w:pPr>
        <w:pStyle w:val="Heading1"/>
      </w:pPr>
      <w:r>
        <w:t>0. 발표 조직 — 법무팀이 만든 제품 이야기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left w:val="single" w:sz="24" w:space="0" w:color="1F3B73"/>
              <w:top w:val="single" w:sz="4" w:space="0" w:color="F5F6F8"/>
              <w:bottom w:val="single" w:sz="4" w:space="0" w:color="F5F6F8"/>
              <w:right w:val="single" w:sz="4" w:space="0" w:color="F5F6F8"/>
            </w:tcBorders>
            <w:shd w:val="clear" w:color="auto" w:fill="F5F6F8"/>
          </w:tcPr>
          <w:p>
            <w:pPr>
              <w:spacing w:before="120" w:after="120"/>
              <w:ind w:left="142"/>
            </w:pPr>
            <w:r>
              <w:rPr>
                <w:b w:val="0"/>
                <w:i w:val="0"/>
                <w:sz w:val="20"/>
                <w:rFonts w:ascii="맑은 고딕" w:hAnsi="맑은 고딕" w:eastAsia="맑은 고딕" w:cs="맑은 고딕"/>
              </w:rPr>
              <w:t>LG AI연구원은 2020년 12월 설립된 LG그룹의 AI 싱크탱크. Legal &amp; Compliance 조직은 법률·규제 이슈에 대응하는 데 그치지 않고, 그 과정에서 축적한 기준과 노하우를 AI 기반 솔루션으로 구현해 외부로 확장하는 「Scalable Compliance」를 실행한다.</w:t>
            </w:r>
          </w:p>
        </w:tc>
      </w:tr>
    </w:tbl>
    <w:p>
      <w:pPr>
        <w:spacing w:after="40"/>
      </w:pPr>
    </w:p>
    <w:p>
      <w:pPr>
        <w:spacing w:before="0" w:after="120"/>
      </w:pPr>
      <w:r>
        <w:rPr>
          <w:b w:val="0"/>
          <w:i w:val="0"/>
          <w:color w:val="5A606A"/>
          <w:sz w:val="19"/>
          <w:rFonts w:ascii="맑은 고딕" w:hAnsi="맑은 고딕" w:eastAsia="맑은 고딕" w:cs="맑은 고딕"/>
        </w:rPr>
        <w:t>→ 이 한 문단이 발표 전체의 성격을 규정한다. 법무 리스크 브리핑이 아니라, 법무팀이 만든 제품에 대한 발표다.</w:t>
      </w:r>
    </w:p>
    <w:p>
      <w:pPr>
        <w:pStyle w:val="Heading2"/>
      </w:pPr>
      <w:r>
        <w:t>0-1. 지난 5년의 모델, 그리고 아직 못 푼 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984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모델</w:t>
            </w:r>
          </w:p>
        </w:tc>
        <w:tc>
          <w:tcPr>
            <w:tcW w:type="dxa" w:w="1417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시점</w:t>
            </w:r>
          </w:p>
        </w:tc>
        <w:tc>
          <w:tcPr>
            <w:tcW w:type="dxa" w:w="6236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특징</w:t>
            </w:r>
          </w:p>
        </w:tc>
      </w:tr>
      <w:tr>
        <w:tc>
          <w:tcPr>
            <w:tcW w:type="dxa" w:w="1984"/>
          </w:tcPr>
          <w:p>
            <w:pPr>
              <w:spacing w:before="40" w:after="40" w:line="288" w:lineRule="auto"/>
            </w:pPr>
            <w:r>
              <w:rPr>
                <w:b/>
                <w:sz w:val="18"/>
                <w:rFonts w:ascii="맑은 고딕" w:hAnsi="맑은 고딕" w:eastAsia="맑은 고딕" w:cs="맑은 고딕"/>
              </w:rPr>
              <w:t>EXAONE 1.0</w:t>
            </w:r>
          </w:p>
        </w:tc>
        <w:tc>
          <w:tcPr>
            <w:tcW w:type="dxa" w:w="1417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2021.12</w:t>
            </w:r>
          </w:p>
        </w:tc>
        <w:tc>
          <w:tcPr>
            <w:tcW w:type="dxa" w:w="6236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한국어와 영어를 함께 이해하는 이중언어 모델</w:t>
            </w:r>
          </w:p>
        </w:tc>
      </w:tr>
      <w:tr>
        <w:tc>
          <w:tcPr>
            <w:tcW w:type="dxa" w:w="1984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sz w:val="18"/>
                <w:rFonts w:ascii="맑은 고딕" w:hAnsi="맑은 고딕" w:eastAsia="맑은 고딕" w:cs="맑은 고딕"/>
              </w:rPr>
              <w:t>EXAONE 2.0</w:t>
            </w:r>
          </w:p>
        </w:tc>
        <w:tc>
          <w:tcPr>
            <w:tcW w:type="dxa" w:w="1417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2023.7</w:t>
            </w:r>
          </w:p>
        </w:tc>
        <w:tc>
          <w:tcPr>
            <w:tcW w:type="dxa" w:w="6236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전문성·신뢰성·비용 효율성을 크게 높인 모델</w:t>
            </w:r>
          </w:p>
        </w:tc>
      </w:tr>
      <w:tr>
        <w:tc>
          <w:tcPr>
            <w:tcW w:type="dxa" w:w="1984"/>
          </w:tcPr>
          <w:p>
            <w:pPr>
              <w:spacing w:before="40" w:after="40" w:line="288" w:lineRule="auto"/>
            </w:pPr>
            <w:r>
              <w:rPr>
                <w:b/>
                <w:sz w:val="18"/>
                <w:rFonts w:ascii="맑은 고딕" w:hAnsi="맑은 고딕" w:eastAsia="맑은 고딕" w:cs="맑은 고딕"/>
              </w:rPr>
              <w:t>EXAONE 3.0</w:t>
            </w:r>
          </w:p>
        </w:tc>
        <w:tc>
          <w:tcPr>
            <w:tcW w:type="dxa" w:w="1417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2024.8</w:t>
            </w:r>
          </w:p>
        </w:tc>
        <w:tc>
          <w:tcPr>
            <w:tcW w:type="dxa" w:w="6236"/>
          </w:tcPr>
          <w:p>
            <w:pPr>
              <w:spacing w:before="40" w:after="40" w:line="288" w:lineRule="auto"/>
            </w:pPr>
            <w:r>
              <w:rPr>
                <w:b/>
                <w:sz w:val="18"/>
                <w:rFonts w:ascii="맑은 고딕" w:hAnsi="맑은 고딕" w:eastAsia="맑은 고딕" w:cs="맑은 고딕"/>
              </w:rPr>
              <w:t>7.8B 인스트럭션 튜닝 언어모델을 일반에 공개</w:t>
            </w:r>
          </w:p>
        </w:tc>
      </w:tr>
      <w:tr>
        <w:tc>
          <w:tcPr>
            <w:tcW w:type="dxa" w:w="1984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sz w:val="18"/>
                <w:rFonts w:ascii="맑은 고딕" w:hAnsi="맑은 고딕" w:eastAsia="맑은 고딕" w:cs="맑은 고딕"/>
              </w:rPr>
              <w:t>EXAONE 3.5</w:t>
            </w:r>
          </w:p>
        </w:tc>
        <w:tc>
          <w:tcPr>
            <w:tcW w:type="dxa" w:w="1417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2024.12</w:t>
            </w:r>
          </w:p>
        </w:tc>
        <w:tc>
          <w:tcPr>
            <w:tcW w:type="dxa" w:w="6236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긴 문맥 이해와 지시 수행 능력이 뛰어난 모델</w:t>
            </w:r>
          </w:p>
        </w:tc>
      </w:tr>
      <w:tr>
        <w:tc>
          <w:tcPr>
            <w:tcW w:type="dxa" w:w="1984"/>
          </w:tcPr>
          <w:p>
            <w:pPr>
              <w:spacing w:before="40" w:after="40" w:line="288" w:lineRule="auto"/>
            </w:pPr>
            <w:r>
              <w:rPr>
                <w:b/>
                <w:sz w:val="18"/>
                <w:rFonts w:ascii="맑은 고딕" w:hAnsi="맑은 고딕" w:eastAsia="맑은 고딕" w:cs="맑은 고딕"/>
              </w:rPr>
              <w:t>EXAONE Deep</w:t>
            </w:r>
          </w:p>
        </w:tc>
        <w:tc>
          <w:tcPr>
            <w:tcW w:type="dxa" w:w="1417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2025.3</w:t>
            </w:r>
          </w:p>
        </w:tc>
        <w:tc>
          <w:tcPr>
            <w:tcW w:type="dxa" w:w="6236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수학·과학·코딩에서 강력한 추론 능력</w:t>
            </w:r>
          </w:p>
        </w:tc>
      </w:tr>
      <w:tr>
        <w:tc>
          <w:tcPr>
            <w:tcW w:type="dxa" w:w="1984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sz w:val="18"/>
                <w:rFonts w:ascii="맑은 고딕" w:hAnsi="맑은 고딕" w:eastAsia="맑은 고딕" w:cs="맑은 고딕"/>
              </w:rPr>
              <w:t>EXAONE 4.0</w:t>
            </w:r>
          </w:p>
        </w:tc>
        <w:tc>
          <w:tcPr>
            <w:tcW w:type="dxa" w:w="1417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—</w:t>
            </w:r>
          </w:p>
        </w:tc>
        <w:tc>
          <w:tcPr>
            <w:tcW w:type="dxa" w:w="6236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언어와 추론을 통합한 하이브리드 AI 모델</w:t>
            </w:r>
          </w:p>
        </w:tc>
      </w:tr>
      <w:tr>
        <w:tc>
          <w:tcPr>
            <w:tcW w:type="dxa" w:w="1984"/>
          </w:tcPr>
          <w:p>
            <w:pPr>
              <w:spacing w:before="40" w:after="40" w:line="288" w:lineRule="auto"/>
            </w:pPr>
            <w:r>
              <w:rPr>
                <w:b/>
                <w:sz w:val="18"/>
                <w:rFonts w:ascii="맑은 고딕" w:hAnsi="맑은 고딕" w:eastAsia="맑은 고딕" w:cs="맑은 고딕"/>
              </w:rPr>
              <w:t>EXAONE 4.5</w:t>
            </w:r>
          </w:p>
        </w:tc>
        <w:tc>
          <w:tcPr>
            <w:tcW w:type="dxa" w:w="1417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2026</w:t>
            </w:r>
          </w:p>
        </w:tc>
        <w:tc>
          <w:tcPr>
            <w:tcW w:type="dxa" w:w="6236"/>
          </w:tcPr>
          <w:p>
            <w:pPr>
              <w:spacing w:before="40" w:after="40" w:line="288" w:lineRule="auto"/>
            </w:pPr>
            <w:r>
              <w:rPr>
                <w:b/>
                <w:sz w:val="18"/>
                <w:rFonts w:ascii="맑은 고딕" w:hAnsi="맑은 고딕" w:eastAsia="맑은 고딕" w:cs="맑은 고딕"/>
              </w:rPr>
              <w:t>LG 최초의 오픈 웨이트 비전-언어(VLM) 모델</w:t>
            </w:r>
          </w:p>
        </w:tc>
      </w:tr>
      <w:tr>
        <w:tc>
          <w:tcPr>
            <w:tcW w:type="dxa" w:w="1984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sz w:val="18"/>
                <w:rFonts w:ascii="맑은 고딕" w:hAnsi="맑은 고딕" w:eastAsia="맑은 고딕" w:cs="맑은 고딕"/>
              </w:rPr>
              <w:t>K-EXAONE 2.0</w:t>
            </w:r>
          </w:p>
        </w:tc>
        <w:tc>
          <w:tcPr>
            <w:tcW w:type="dxa" w:w="1417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2025.8</w:t>
            </w:r>
          </w:p>
        </w:tc>
        <w:tc>
          <w:tcPr>
            <w:tcW w:type="dxa" w:w="6236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sz w:val="18"/>
                <w:rFonts w:ascii="맑은 고딕" w:hAnsi="맑은 고딕" w:eastAsia="맑은 고딕" w:cs="맑은 고딕"/>
              </w:rPr>
              <w:t>750B 프론티어급 멀티모달 · Apache 2.0 오픈소스 · 독자 기술로 구축한 대한민국 대표 AI</w:t>
            </w:r>
          </w:p>
        </w:tc>
      </w:tr>
    </w:tbl>
    <w:p>
      <w:pPr>
        <w:spacing w:after="40"/>
      </w:pPr>
    </w:p>
    <w:p>
      <w:pPr>
        <w:spacing w:before="0" w:after="120"/>
      </w:pPr>
      <w:r>
        <w:rPr>
          <w:b w:val="0"/>
          <w:i w:val="0"/>
          <w:color w:val="5A606A"/>
          <w:sz w:val="19"/>
          <w:rFonts w:ascii="맑은 고딕" w:hAnsi="맑은 고딕" w:eastAsia="맑은 고딕" w:cs="맑은 고딕"/>
        </w:rPr>
        <w:t>추가 성과 — Epoch AI의 Notable AI Models 등재, 대한민국 독자 파운데이션 모델 1차 평가 종합 1위 / 2차 평가 Top 3.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left w:val="single" w:sz="24" w:space="0" w:color="1F3B73"/>
              <w:top w:val="single" w:sz="4" w:space="0" w:color="F5F6F8"/>
              <w:bottom w:val="single" w:sz="4" w:space="0" w:color="F5F6F8"/>
              <w:right w:val="single" w:sz="4" w:space="0" w:color="F5F6F8"/>
            </w:tcBorders>
            <w:shd w:val="clear" w:color="auto" w:fill="F5F6F8"/>
          </w:tcPr>
          <w:p>
            <w:pPr>
              <w:spacing w:before="120" w:after="120"/>
              <w:ind w:left="142"/>
            </w:pPr>
            <w:r>
              <w:rPr>
                <w:b/>
                <w:i w:val="0"/>
                <w:sz w:val="22"/>
                <w:rFonts w:ascii="맑은 고딕" w:hAnsi="맑은 고딕" w:eastAsia="맑은 고딕" w:cs="맑은 고딕"/>
              </w:rPr>
              <w:t>모델을 만드는 법은 알지만, 그 투명성을 증명하는 법은 찾아 나가고 있습니다.</w:t>
            </w:r>
          </w:p>
        </w:tc>
      </w:tr>
    </w:tbl>
    <w:p>
      <w:pPr>
        <w:spacing w:after="40"/>
      </w:pPr>
    </w:p>
    <w:p>
      <w:pPr>
        <w:pStyle w:val="Heading1"/>
      </w:pPr>
      <w:r>
        <w:t>1. 왜 AI-BOM인가 — 공급망이 단절되지 않게 어떻게 지킬 것인가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984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시대</w:t>
            </w:r>
          </w:p>
        </w:tc>
        <w:tc>
          <w:tcPr>
            <w:tcW w:type="dxa" w:w="2835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명세서</w:t>
            </w:r>
          </w:p>
        </w:tc>
        <w:tc>
          <w:tcPr>
            <w:tcW w:type="dxa" w:w="4819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무엇을 보장하나</w:t>
            </w:r>
          </w:p>
        </w:tc>
      </w:tr>
      <w:tr>
        <w:tc>
          <w:tcPr>
            <w:tcW w:type="dxa" w:w="1984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하드웨어의 시대</w:t>
            </w:r>
          </w:p>
        </w:tc>
        <w:tc>
          <w:tcPr>
            <w:tcW w:type="dxa" w:w="2835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부품 명세서 (BOM)</w:t>
            </w:r>
          </w:p>
        </w:tc>
        <w:tc>
          <w:tcPr>
            <w:tcW w:type="dxa" w:w="4819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제조 공급망 투명성 + 제품 구성요소 추적성</w:t>
            </w:r>
          </w:p>
        </w:tc>
      </w:tr>
      <w:tr>
        <w:tc>
          <w:tcPr>
            <w:tcW w:type="dxa" w:w="1984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소프트웨어의 시대</w:t>
            </w:r>
          </w:p>
        </w:tc>
        <w:tc>
          <w:tcPr>
            <w:tcW w:type="dxa" w:w="2835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소프트웨어 명세서 (SBOM)</w:t>
            </w:r>
          </w:p>
        </w:tc>
        <w:tc>
          <w:tcPr>
            <w:tcW w:type="dxa" w:w="4819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소프트웨어 공급망 투명성 + 의존성·라이선스 추적성</w:t>
            </w:r>
          </w:p>
        </w:tc>
      </w:tr>
      <w:tr>
        <w:tc>
          <w:tcPr>
            <w:tcW w:type="dxa" w:w="1984"/>
          </w:tcPr>
          <w:p>
            <w:pPr>
              <w:spacing w:before="40" w:after="40" w:line="288" w:lineRule="auto"/>
            </w:pPr>
            <w:r>
              <w:rPr>
                <w:b/>
                <w:sz w:val="18"/>
                <w:rFonts w:ascii="맑은 고딕" w:hAnsi="맑은 고딕" w:eastAsia="맑은 고딕" w:cs="맑은 고딕"/>
              </w:rPr>
              <w:t>인공지능의 시대</w:t>
            </w:r>
          </w:p>
        </w:tc>
        <w:tc>
          <w:tcPr>
            <w:tcW w:type="dxa" w:w="2835"/>
          </w:tcPr>
          <w:p>
            <w:pPr>
              <w:spacing w:before="40" w:after="40" w:line="288" w:lineRule="auto"/>
            </w:pPr>
            <w:r>
              <w:rPr>
                <w:b/>
                <w:sz w:val="18"/>
                <w:rFonts w:ascii="맑은 고딕" w:hAnsi="맑은 고딕" w:eastAsia="맑은 고딕" w:cs="맑은 고딕"/>
              </w:rPr>
              <w:t>AI 명세서 (AI-BOM)</w:t>
            </w:r>
          </w:p>
        </w:tc>
        <w:tc>
          <w:tcPr>
            <w:tcW w:type="dxa" w:w="4819"/>
          </w:tcPr>
          <w:p>
            <w:pPr>
              <w:spacing w:before="40" w:after="40" w:line="288" w:lineRule="auto"/>
            </w:pPr>
            <w:r>
              <w:rPr>
                <w:b/>
                <w:sz w:val="18"/>
                <w:rFonts w:ascii="맑은 고딕" w:hAnsi="맑은 고딕" w:eastAsia="맑은 고딕" w:cs="맑은 고딕"/>
              </w:rPr>
              <w:t>AI의 투명성은 어떻게 추적할 것인가?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left w:val="single" w:sz="24" w:space="0" w:color="1F3B73"/>
              <w:top w:val="single" w:sz="4" w:space="0" w:color="F5F6F8"/>
              <w:bottom w:val="single" w:sz="4" w:space="0" w:color="F5F6F8"/>
              <w:right w:val="single" w:sz="4" w:space="0" w:color="F5F6F8"/>
            </w:tcBorders>
            <w:shd w:val="clear" w:color="auto" w:fill="F5F6F8"/>
          </w:tcPr>
          <w:p>
            <w:pPr>
              <w:spacing w:before="120" w:after="120"/>
              <w:ind w:left="142"/>
            </w:pPr>
            <w:r>
              <w:rPr>
                <w:b w:val="0"/>
                <w:i w:val="0"/>
                <w:sz w:val="20"/>
                <w:rFonts w:ascii="맑은 고딕" w:hAnsi="맑은 고딕" w:eastAsia="맑은 고딕" w:cs="맑은 고딕"/>
              </w:rPr>
              <w:t>블랙박스인 AI의 투명성은 어떻게 보장할 수 있을까요? 지금의 SBOM 도구로 그 상자를 열 수 있을까요?</w:t>
            </w:r>
          </w:p>
        </w:tc>
      </w:tr>
    </w:tbl>
    <w:p>
      <w:pPr>
        <w:spacing w:after="40"/>
      </w:pPr>
    </w:p>
    <w:p>
      <w:pPr>
        <w:spacing w:before="0" w:after="120"/>
      </w:pPr>
      <w:r>
        <w:rPr>
          <w:b w:val="0"/>
          <w:i w:val="0"/>
          <w:sz w:val="20"/>
          <w:rFonts w:ascii="맑은 고딕" w:hAnsi="맑은 고딕" w:eastAsia="맑은 고딕" w:cs="맑은 고딕"/>
        </w:rPr>
        <w:t>EU AI Act, 한국 AI 기본법 등은 공통적으로 「AI를 어떻게 만들고 무슨 데이터를 썼는지 기록하라」고 요구한다. 왜 기록하라고 했는가를 끝까지 따라가면 이 질문에 닿는다: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left w:val="single" w:sz="24" w:space="0" w:color="B0302E"/>
              <w:top w:val="single" w:sz="4" w:space="0" w:color="FDF3E7"/>
              <w:bottom w:val="single" w:sz="4" w:space="0" w:color="FDF3E7"/>
              <w:right w:val="single" w:sz="4" w:space="0" w:color="FDF3E7"/>
            </w:tcBorders>
            <w:shd w:val="clear" w:color="auto" w:fill="FDF3E7"/>
          </w:tcPr>
          <w:p>
            <w:pPr>
              <w:spacing w:before="120" w:after="120"/>
              <w:ind w:left="142"/>
            </w:pPr>
            <w:r>
              <w:rPr>
                <w:b/>
                <w:i w:val="0"/>
                <w:sz w:val="20"/>
                <w:rFonts w:ascii="맑은 고딕" w:hAnsi="맑은 고딕" w:eastAsia="맑은 고딕" w:cs="맑은 고딕"/>
              </w:rPr>
              <w:t>AI가 로봇에 탑재되어 사람에게 위해를 가했을 때, 대체 무엇 때문에 이 문제가 발생했는가?</w:t>
            </w:r>
          </w:p>
        </w:tc>
      </w:tr>
    </w:tbl>
    <w:p>
      <w:pPr>
        <w:spacing w:after="40"/>
      </w:pPr>
    </w:p>
    <w:p>
      <w:pPr>
        <w:spacing w:before="0" w:after="120"/>
      </w:pPr>
      <w:r>
        <w:rPr>
          <w:b w:val="0"/>
          <w:i w:val="0"/>
          <w:sz w:val="20"/>
          <w:rFonts w:ascii="맑은 고딕" w:hAnsi="맑은 고딕" w:eastAsia="맑은 고딕" w:cs="맑은 고딕"/>
        </w:rPr>
        <w:t>한국은 2026년 1월 AI 기본법 발효. 발효 이후 각 기업에서 — LG 그룹 내부에서도 — 상당한 혼란이 있었고, 그 해결책으로 AI-BOM을 만들고 있다.</w:t>
      </w:r>
    </w:p>
    <w:p>
      <w:pPr>
        <w:pStyle w:val="Heading1"/>
      </w:pPr>
      <w:r>
        <w:t>2. 왜 SBOM 도구로는 안 되는가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417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구분</w:t>
            </w:r>
          </w:p>
        </w:tc>
        <w:tc>
          <w:tcPr>
            <w:tcW w:type="dxa" w:w="3969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소프트웨어</w:t>
            </w:r>
          </w:p>
        </w:tc>
        <w:tc>
          <w:tcPr>
            <w:tcW w:type="dxa" w:w="4252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AI</w:t>
            </w:r>
          </w:p>
        </w:tc>
      </w:tr>
      <w:tr>
        <w:tc>
          <w:tcPr>
            <w:tcW w:type="dxa" w:w="1417"/>
          </w:tcPr>
          <w:p>
            <w:pPr>
              <w:spacing w:before="40" w:after="40" w:line="288" w:lineRule="auto"/>
            </w:pPr>
            <w:r>
              <w:rPr>
                <w:b/>
                <w:sz w:val="18"/>
                <w:rFonts w:ascii="맑은 고딕" w:hAnsi="맑은 고딕" w:eastAsia="맑은 고딕" w:cs="맑은 고딕"/>
              </w:rPr>
              <w:t>동작 방식</w:t>
            </w:r>
          </w:p>
        </w:tc>
        <w:tc>
          <w:tcPr>
            <w:tcW w:type="dxa" w:w="3969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개발자가 정의한 로직 그대로 동작 (입력 → 출력)</w:t>
            </w:r>
          </w:p>
        </w:tc>
        <w:tc>
          <w:tcPr>
            <w:tcW w:type="dxa" w:w="4252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 xml:space="preserve">학습한 패턴을 바탕으로 </w:t>
            </w:r>
            <w:r>
              <w:rPr>
                <w:b/>
                <w:sz w:val="18"/>
                <w:rFonts w:ascii="맑은 고딕" w:hAnsi="맑은 고딕" w:eastAsia="맑은 고딕" w:cs="맑은 고딕"/>
              </w:rPr>
              <w:t>확률적으로</w:t>
            </w:r>
            <w:r>
              <w:rPr>
                <w:b w:val="0"/>
                <w:sz w:val="18"/>
                <w:rFonts w:ascii="맑은 고딕" w:hAnsi="맑은 고딕" w:eastAsia="맑은 고딕" w:cs="맑은 고딕"/>
              </w:rPr>
              <w:t xml:space="preserve"> 결과 생성 (입력 → 출력 1/2/3)</w:t>
            </w:r>
          </w:p>
        </w:tc>
      </w:tr>
      <w:tr>
        <w:tc>
          <w:tcPr>
            <w:tcW w:type="dxa" w:w="1417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sz w:val="18"/>
                <w:rFonts w:ascii="맑은 고딕" w:hAnsi="맑은 고딕" w:eastAsia="맑은 고딕" w:cs="맑은 고딕"/>
              </w:rPr>
              <w:t>스캔 결과</w:t>
            </w:r>
          </w:p>
        </w:tc>
        <w:tc>
          <w:tcPr>
            <w:tcW w:type="dxa" w:w="3969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`source_code.py`의 `import flask` → 스캐너 탐지: flask 3.1.0, BSD-3-Clause</w:t>
            </w:r>
          </w:p>
        </w:tc>
        <w:tc>
          <w:tcPr>
            <w:tcW w:type="dxa" w:w="4252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 xml:space="preserve">`train.py`의 `load_model('weights.h5')`, `load_dataset("./corpus/")` → </w:t>
            </w:r>
            <w:r>
              <w:rPr>
                <w:b/>
                <w:sz w:val="18"/>
                <w:rFonts w:ascii="맑은 고딕" w:hAnsi="맑은 고딕" w:eastAsia="맑은 고딕" w:cs="맑은 고딕"/>
              </w:rPr>
              <w:t>스캐너에는 파일 이름만 보인다</w:t>
            </w:r>
          </w:p>
        </w:tc>
      </w:tr>
      <w:tr>
        <w:tc>
          <w:tcPr>
            <w:tcW w:type="dxa" w:w="1417"/>
          </w:tcPr>
          <w:p>
            <w:pPr>
              <w:spacing w:before="40" w:after="40" w:line="288" w:lineRule="auto"/>
            </w:pPr>
            <w:r>
              <w:rPr>
                <w:b/>
                <w:sz w:val="18"/>
                <w:rFonts w:ascii="맑은 고딕" w:hAnsi="맑은 고딕" w:eastAsia="맑은 고딕" w:cs="맑은 고딕"/>
              </w:rPr>
              <w:t>결론</w:t>
            </w:r>
          </w:p>
        </w:tc>
        <w:tc>
          <w:tcPr>
            <w:tcW w:type="dxa" w:w="3969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 xml:space="preserve">위험이 특정 코드 라인에 분명히 드러남 → </w:t>
            </w:r>
            <w:r>
              <w:rPr>
                <w:b/>
                <w:sz w:val="18"/>
                <w:rFonts w:ascii="맑은 고딕" w:hAnsi="맑은 고딕" w:eastAsia="맑은 고딕" w:cs="맑은 고딕"/>
              </w:rPr>
              <w:t>소스코드로 추적 가능</w:t>
            </w:r>
          </w:p>
        </w:tc>
        <w:tc>
          <w:tcPr>
            <w:tcW w:type="dxa" w:w="4252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 xml:space="preserve">어떤 코드 한 줄로도 위험을 알아낼 수 없음 → </w:t>
            </w:r>
            <w:r>
              <w:rPr>
                <w:b/>
                <w:sz w:val="18"/>
                <w:rFonts w:ascii="맑은 고딕" w:hAnsi="맑은 고딕" w:eastAsia="맑은 고딕" w:cs="맑은 고딕"/>
              </w:rPr>
              <w:t>소스코드로는 추적 불가</w:t>
            </w:r>
          </w:p>
        </w:tc>
      </w:tr>
    </w:tbl>
    <w:p>
      <w:pPr>
        <w:spacing w:after="40"/>
      </w:pPr>
    </w:p>
    <w:p>
      <w:pPr>
        <w:pStyle w:val="Heading2"/>
      </w:pPr>
      <w:r>
        <w:t>2-1. AI-BOM이 반드시 해결해야 할 세 가지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3402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구성요소</w:t>
            </w:r>
          </w:p>
        </w:tc>
        <w:tc>
          <w:tcPr>
            <w:tcW w:type="dxa" w:w="6236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SBOM 스캐너로 잡히나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88" w:lineRule="auto"/>
            </w:pPr>
            <w:r>
              <w:rPr>
                <w:b/>
                <w:sz w:val="18"/>
                <w:rFonts w:ascii="맑은 고딕" w:hAnsi="맑은 고딕" w:eastAsia="맑은 고딕" w:cs="맑은 고딕"/>
              </w:rPr>
              <w:t>베이스 모델 아키텍처</w:t>
            </w:r>
          </w:p>
        </w:tc>
        <w:tc>
          <w:tcPr>
            <w:tcW w:type="dxa" w:w="6236"/>
          </w:tcPr>
          <w:p>
            <w:pPr>
              <w:spacing w:before="40" w:after="40" w:line="288" w:lineRule="auto"/>
            </w:pPr>
            <w:r>
              <w:rPr>
                <w:b/>
                <w:sz w:val="18"/>
                <w:rFonts w:ascii="맑은 고딕" w:hAnsi="맑은 고딕" w:eastAsia="맑은 고딕" w:cs="맑은 고딕"/>
              </w:rPr>
              <w:t>가능</w:t>
            </w:r>
            <w:r>
              <w:rPr>
                <w:b w:val="0"/>
                <w:sz w:val="18"/>
                <w:rFonts w:ascii="맑은 고딕" w:hAnsi="맑은 고딕" w:eastAsia="맑은 고딕" w:cs="맑은 고딕"/>
              </w:rPr>
              <w:t xml:space="preserve"> — SBOM 스캐너가 찾아낼 수 있는 유일한 항목</w:t>
            </w:r>
          </w:p>
        </w:tc>
      </w:tr>
      <w:tr>
        <w:tc>
          <w:tcPr>
            <w:tcW w:type="dxa" w:w="3402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sz w:val="18"/>
                <w:rFonts w:ascii="맑은 고딕" w:hAnsi="맑은 고딕" w:eastAsia="맑은 고딕" w:cs="맑은 고딕"/>
              </w:rPr>
              <w:t>모델 파라미터 및 가중치</w:t>
            </w:r>
          </w:p>
        </w:tc>
        <w:tc>
          <w:tcPr>
            <w:tcW w:type="dxa" w:w="6236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sz w:val="18"/>
                <w:rFonts w:ascii="맑은 고딕" w:hAnsi="맑은 고딕" w:eastAsia="맑은 고딕" w:cs="맑은 고딕"/>
              </w:rPr>
              <w:t>불가능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88" w:lineRule="auto"/>
            </w:pPr>
            <w:r>
              <w:rPr>
                <w:b/>
                <w:sz w:val="18"/>
                <w:rFonts w:ascii="맑은 고딕" w:hAnsi="맑은 고딕" w:eastAsia="맑은 고딕" w:cs="맑은 고딕"/>
              </w:rPr>
              <w:t>학습 데이터셋</w:t>
            </w:r>
          </w:p>
        </w:tc>
        <w:tc>
          <w:tcPr>
            <w:tcW w:type="dxa" w:w="6236"/>
          </w:tcPr>
          <w:p>
            <w:pPr>
              <w:spacing w:before="40" w:after="40" w:line="288" w:lineRule="auto"/>
            </w:pPr>
            <w:r>
              <w:rPr>
                <w:b/>
                <w:sz w:val="18"/>
                <w:rFonts w:ascii="맑은 고딕" w:hAnsi="맑은 고딕" w:eastAsia="맑은 고딕" w:cs="맑은 고딕"/>
              </w:rPr>
              <w:t>불가능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left w:val="single" w:sz="24" w:space="0" w:color="1F3B73"/>
              <w:top w:val="single" w:sz="4" w:space="0" w:color="F5F6F8"/>
              <w:bottom w:val="single" w:sz="4" w:space="0" w:color="F5F6F8"/>
              <w:right w:val="single" w:sz="4" w:space="0" w:color="F5F6F8"/>
            </w:tcBorders>
            <w:shd w:val="clear" w:color="auto" w:fill="F5F6F8"/>
          </w:tcPr>
          <w:p>
            <w:pPr>
              <w:spacing w:before="120" w:after="120"/>
              <w:ind w:left="142"/>
            </w:pPr>
            <w:r>
              <w:rPr>
                <w:b/>
                <w:i w:val="0"/>
                <w:sz w:val="20"/>
                <w:rFonts w:ascii="맑은 고딕" w:hAnsi="맑은 고딕" w:eastAsia="맑은 고딕" w:cs="맑은 고딕"/>
              </w:rPr>
              <w:t>세 가지 중 두 가지는 코드에 아무 흔적도 남기지 않습니다. 그럼에도 AI BOM은 이를 기록해야 합니다.</w:t>
            </w:r>
          </w:p>
        </w:tc>
      </w:tr>
    </w:tbl>
    <w:p>
      <w:pPr>
        <w:spacing w:after="40"/>
      </w:pPr>
    </w:p>
    <w:p>
      <w:pPr>
        <w:pStyle w:val="Heading2"/>
      </w:pPr>
      <w:r>
        <w:t>2-2. 이미 한 번 풀어낸 문제, 구성요소만 바뀌었다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2268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질문</w:t>
            </w:r>
          </w:p>
        </w:tc>
        <w:tc>
          <w:tcPr>
            <w:tcW w:type="dxa" w:w="3685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소프트웨어 (SBOM)</w:t>
            </w:r>
          </w:p>
        </w:tc>
        <w:tc>
          <w:tcPr>
            <w:tcW w:type="dxa" w:w="3685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AI (AI-BOM)</w:t>
            </w:r>
          </w:p>
        </w:tc>
      </w:tr>
      <w:tr>
        <w:tc>
          <w:tcPr>
            <w:tcW w:type="dxa" w:w="2268"/>
          </w:tcPr>
          <w:p>
            <w:pPr>
              <w:spacing w:before="40" w:after="40" w:line="288" w:lineRule="auto"/>
            </w:pPr>
            <w:r>
              <w:rPr>
                <w:b/>
                <w:sz w:val="18"/>
                <w:rFonts w:ascii="맑은 고딕" w:hAnsi="맑은 고딕" w:eastAsia="맑은 고딕" w:cs="맑은 고딕"/>
              </w:rPr>
              <w:t>구성요소는 무엇인가</w:t>
            </w:r>
          </w:p>
        </w:tc>
        <w:tc>
          <w:tcPr>
            <w:tcW w:type="dxa" w:w="3685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패키지, 라이브러리, 버전</w:t>
            </w:r>
          </w:p>
        </w:tc>
        <w:tc>
          <w:tcPr>
            <w:tcW w:type="dxa" w:w="3685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데이터셋, 모델, 가중치</w:t>
            </w:r>
          </w:p>
        </w:tc>
      </w:tr>
      <w:tr>
        <w:tc>
          <w:tcPr>
            <w:tcW w:type="dxa" w:w="2268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sz w:val="18"/>
                <w:rFonts w:ascii="맑은 고딕" w:hAnsi="맑은 고딕" w:eastAsia="맑은 고딕" w:cs="맑은 고딕"/>
              </w:rPr>
              <w:t>누가 선언하는가</w:t>
            </w:r>
          </w:p>
        </w:tc>
        <w:tc>
          <w:tcPr>
            <w:tcW w:type="dxa" w:w="3685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빌드 시스템이 자동으로 선언</w:t>
            </w:r>
          </w:p>
        </w:tc>
        <w:tc>
          <w:tcPr>
            <w:tcW w:type="dxa" w:w="3685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sz w:val="18"/>
                <w:rFonts w:ascii="맑은 고딕" w:hAnsi="맑은 고딕" w:eastAsia="맑은 고딕" w:cs="맑은 고딕"/>
              </w:rPr>
              <w:t>아무도 하지 않는다</w:t>
            </w:r>
          </w:p>
        </w:tc>
      </w:tr>
      <w:tr>
        <w:tc>
          <w:tcPr>
            <w:tcW w:type="dxa" w:w="2268"/>
          </w:tcPr>
          <w:p>
            <w:pPr>
              <w:spacing w:before="40" w:after="40" w:line="288" w:lineRule="auto"/>
            </w:pPr>
            <w:r>
              <w:rPr>
                <w:b/>
                <w:sz w:val="18"/>
                <w:rFonts w:ascii="맑은 고딕" w:hAnsi="맑은 고딕" w:eastAsia="맑은 고딕" w:cs="맑은 고딕"/>
              </w:rPr>
              <w:t>얼마나 깊은가</w:t>
            </w:r>
          </w:p>
        </w:tc>
        <w:tc>
          <w:tcPr>
            <w:tcW w:type="dxa" w:w="3685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해석 가능하고, 대체로 깊지 않다</w:t>
            </w:r>
          </w:p>
        </w:tc>
        <w:tc>
          <w:tcPr>
            <w:tcW w:type="dxa" w:w="3685"/>
          </w:tcPr>
          <w:p>
            <w:pPr>
              <w:spacing w:before="40" w:after="40" w:line="288" w:lineRule="auto"/>
            </w:pPr>
            <w:r>
              <w:rPr>
                <w:b/>
                <w:sz w:val="18"/>
                <w:rFonts w:ascii="맑은 고딕" w:hAnsi="맑은 고딕" w:eastAsia="맑은 고딕" w:cs="맑은 고딕"/>
              </w:rPr>
              <w:t>끝없이 깊고, 해석이 어렵다</w:t>
            </w:r>
          </w:p>
        </w:tc>
      </w:tr>
      <w:tr>
        <w:tc>
          <w:tcPr>
            <w:tcW w:type="dxa" w:w="2268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sz w:val="18"/>
                <w:rFonts w:ascii="맑은 고딕" w:hAnsi="맑은 고딕" w:eastAsia="맑은 고딕" w:cs="맑은 고딕"/>
              </w:rPr>
              <w:t>무슨 질문에 답하는가</w:t>
            </w:r>
          </w:p>
        </w:tc>
        <w:tc>
          <w:tcPr>
            <w:tcW w:type="dxa" w:w="3685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이 바이너리 안에 무엇이 있는가?</w:t>
            </w:r>
          </w:p>
        </w:tc>
        <w:tc>
          <w:tcPr>
            <w:tcW w:type="dxa" w:w="3685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이 모델 안에 무엇이 있는가?</w:t>
            </w:r>
          </w:p>
        </w:tc>
      </w:tr>
      <w:tr>
        <w:tc>
          <w:tcPr>
            <w:tcW w:type="dxa" w:w="2268"/>
          </w:tcPr>
          <w:p>
            <w:pPr>
              <w:spacing w:before="40" w:after="40" w:line="288" w:lineRule="auto"/>
            </w:pPr>
            <w:r>
              <w:rPr>
                <w:b/>
                <w:sz w:val="18"/>
                <w:rFonts w:ascii="맑은 고딕" w:hAnsi="맑은 고딕" w:eastAsia="맑은 고딕" w:cs="맑은 고딕"/>
              </w:rPr>
              <w:t>표준</w:t>
            </w:r>
          </w:p>
        </w:tc>
        <w:tc>
          <w:tcPr>
            <w:tcW w:type="dxa" w:w="3685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SPDX — 리눅스재단 · ISO/IEC 5962</w:t>
            </w:r>
          </w:p>
        </w:tc>
        <w:tc>
          <w:tcPr>
            <w:tcW w:type="dxa" w:w="3685"/>
          </w:tcPr>
          <w:p>
            <w:pPr>
              <w:spacing w:before="40" w:after="40" w:line="288" w:lineRule="auto"/>
            </w:pPr>
            <w:r>
              <w:rPr>
                <w:b/>
                <w:sz w:val="18"/>
                <w:rFonts w:ascii="맑은 고딕" w:hAnsi="맑은 고딕" w:eastAsia="맑은 고딕" w:cs="맑은 고딕"/>
              </w:rPr>
              <w:t>SPDX 3.0 &amp; OpenChain AI System BOM</w:t>
            </w:r>
            <w:r>
              <w:rPr>
                <w:b w:val="0"/>
                <w:sz w:val="18"/>
                <w:rFonts w:ascii="맑은 고딕" w:hAnsi="맑은 고딕" w:eastAsia="맑은 고딕" w:cs="맑은 고딕"/>
              </w:rPr>
              <w:t xml:space="preserve"> — 리눅스재단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left w:val="single" w:sz="24" w:space="0" w:color="1F3B73"/>
              <w:top w:val="single" w:sz="4" w:space="0" w:color="F5F6F8"/>
              <w:bottom w:val="single" w:sz="4" w:space="0" w:color="F5F6F8"/>
              <w:right w:val="single" w:sz="4" w:space="0" w:color="F5F6F8"/>
            </w:tcBorders>
            <w:shd w:val="clear" w:color="auto" w:fill="F5F6F8"/>
          </w:tcPr>
          <w:p>
            <w:pPr>
              <w:spacing w:before="120" w:after="120"/>
              <w:ind w:left="142"/>
            </w:pPr>
            <w:r>
              <w:rPr>
                <w:b/>
                <w:i w:val="0"/>
                <w:sz w:val="20"/>
                <w:rFonts w:ascii="맑은 고딕" w:hAnsi="맑은 고딕" w:eastAsia="맑은 고딕" w:cs="맑은 고딕"/>
              </w:rPr>
              <w:t>명세서에는 이미 그 자리가 마련되어 있습니다. 그 자리를 채울 방법이 없을 뿐입니다.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3. 투명성은 「연결」 속에 있다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680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#</w:t>
            </w:r>
          </w:p>
        </w:tc>
        <w:tc>
          <w:tcPr>
            <w:tcW w:type="dxa" w:w="2154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항목</w:t>
            </w:r>
          </w:p>
        </w:tc>
        <w:tc>
          <w:tcPr>
            <w:tcW w:type="dxa" w:w="6803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질문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1</w:t>
            </w:r>
          </w:p>
        </w:tc>
        <w:tc>
          <w:tcPr>
            <w:tcW w:type="dxa" w:w="2154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모델 출처</w:t>
            </w:r>
          </w:p>
        </w:tc>
        <w:tc>
          <w:tcPr>
            <w:tcW w:type="dxa" w:w="6803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이 모델을 처음부터 직접 만들었는가? 사전학습된 파운데이션 모델을 파인튜닝하거나 파생된 것인가?</w:t>
            </w:r>
          </w:p>
        </w:tc>
      </w:tr>
      <w:tr>
        <w:tc>
          <w:tcPr>
            <w:tcW w:type="dxa" w:w="680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2</w:t>
            </w:r>
          </w:p>
        </w:tc>
        <w:tc>
          <w:tcPr>
            <w:tcW w:type="dxa" w:w="2154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학습 데이터 계보</w:t>
            </w:r>
          </w:p>
        </w:tc>
        <w:tc>
          <w:tcPr>
            <w:tcW w:type="dxa" w:w="6803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학습에 정확히 어떤 데이터셋을 사용했는가?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3</w:t>
            </w:r>
          </w:p>
        </w:tc>
        <w:tc>
          <w:tcPr>
            <w:tcW w:type="dxa" w:w="2154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데이터셋 출처</w:t>
            </w:r>
          </w:p>
        </w:tc>
        <w:tc>
          <w:tcPr>
            <w:tcW w:type="dxa" w:w="6803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 xml:space="preserve">이 데이터는 어디서 비롯되었고, </w:t>
            </w:r>
            <w:r>
              <w:rPr>
                <w:b/>
                <w:sz w:val="18"/>
                <w:rFonts w:ascii="맑은 고딕" w:hAnsi="맑은 고딕" w:eastAsia="맑은 고딕" w:cs="맑은 고딕"/>
              </w:rPr>
              <w:t>적법하게 확보되었는가?</w:t>
            </w:r>
          </w:p>
        </w:tc>
      </w:tr>
    </w:tbl>
    <w:p>
      <w:pPr>
        <w:spacing w:after="40"/>
      </w:pPr>
    </w:p>
    <w:p>
      <w:pPr>
        <w:spacing w:before="0" w:after="120"/>
        <w:jc w:val="center"/>
      </w:pPr>
      <w:r>
        <w:rPr>
          <w:b/>
          <w:i w:val="0"/>
          <w:sz w:val="20"/>
          <w:rFonts w:ascii="맑은 고딕" w:hAnsi="맑은 고딕" w:eastAsia="맑은 고딕" w:cs="맑은 고딕"/>
        </w:rPr>
        <w:t>베이스 모델 알고리즘 → 모델 파라미터·가중치 → 학습 데이터셋 → 데이터 출처(복수)</w:t>
      </w:r>
    </w:p>
    <w:p>
      <w:pPr>
        <w:pStyle w:val="Heading2"/>
      </w:pPr>
      <w:r>
        <w:t>3-1. 모델은 형태를 남기지만, 데이터는 남기지 않는다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4252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계보</w:t>
            </w:r>
          </w:p>
        </w:tc>
        <w:tc>
          <w:tcPr>
            <w:tcW w:type="dxa" w:w="5386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상태</w:t>
            </w:r>
          </w:p>
        </w:tc>
      </w:tr>
      <w:tr>
        <w:tc>
          <w:tcPr>
            <w:tcW w:type="dxa" w:w="4252"/>
          </w:tcPr>
          <w:p>
            <w:pPr>
              <w:spacing w:before="40" w:after="40" w:line="288" w:lineRule="auto"/>
            </w:pPr>
            <w:r>
              <w:rPr>
                <w:b/>
                <w:sz w:val="18"/>
                <w:rFonts w:ascii="맑은 고딕" w:hAnsi="맑은 고딕" w:eastAsia="맑은 고딕" w:cs="맑은 고딕"/>
              </w:rPr>
              <w:t>모델 계보</w:t>
            </w:r>
            <w:r>
              <w:rPr>
                <w:b w:val="0"/>
                <w:sz w:val="18"/>
                <w:rFonts w:ascii="맑은 고딕" w:hAnsi="맑은 고딕" w:eastAsia="맑은 고딕" w:cs="맑은 고딕"/>
              </w:rPr>
              <w:t xml:space="preserve"> — 「이 모델은 저 모델에서 파생되었다」</w:t>
            </w:r>
          </w:p>
        </w:tc>
        <w:tc>
          <w:tcPr>
            <w:tcW w:type="dxa" w:w="5386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 xml:space="preserve">표현 가능하고, 구조화되며, </w:t>
            </w:r>
            <w:r>
              <w:rPr>
                <w:b/>
                <w:sz w:val="18"/>
                <w:rFonts w:ascii="맑은 고딕" w:hAnsi="맑은 고딕" w:eastAsia="맑은 고딕" w:cs="맑은 고딕"/>
              </w:rPr>
              <w:t>기록으로 남는다</w:t>
            </w:r>
          </w:p>
        </w:tc>
      </w:tr>
      <w:tr>
        <w:tc>
          <w:tcPr>
            <w:tcW w:type="dxa" w:w="4252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sz w:val="18"/>
                <w:rFonts w:ascii="맑은 고딕" w:hAnsi="맑은 고딕" w:eastAsia="맑은 고딕" w:cs="맑은 고딕"/>
              </w:rPr>
              <w:t>데이터셋 계보</w:t>
            </w:r>
            <w:r>
              <w:rPr>
                <w:b w:val="0"/>
                <w:sz w:val="18"/>
                <w:rFonts w:ascii="맑은 고딕" w:hAnsi="맑은 고딕" w:eastAsia="맑은 고딕" w:cs="맑은 고딕"/>
              </w:rPr>
              <w:t xml:space="preserve"> — 「이 데이터셋은… 어디서 왔는가?」</w:t>
            </w:r>
          </w:p>
        </w:tc>
        <w:tc>
          <w:tcPr>
            <w:tcW w:type="dxa" w:w="5386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sz w:val="18"/>
                <w:rFonts w:ascii="맑은 고딕" w:hAnsi="맑은 고딕" w:eastAsia="맑은 고딕" w:cs="맑은 고딕"/>
              </w:rPr>
              <w:t>선택 항목.</w:t>
            </w:r>
            <w:r>
              <w:rPr>
                <w:b w:val="0"/>
                <w:sz w:val="18"/>
                <w:rFonts w:ascii="맑은 고딕" w:hAnsi="맑은 고딕" w:eastAsia="맑은 고딕" w:cs="맑은 고딕"/>
              </w:rPr>
              <w:t xml:space="preserve"> 그래서 요구되지 않고, 채워지지 않고, 존재하지 않는다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left w:val="single" w:sz="24" w:space="0" w:color="1F3B73"/>
              <w:top w:val="single" w:sz="4" w:space="0" w:color="F5F6F8"/>
              <w:bottom w:val="single" w:sz="4" w:space="0" w:color="F5F6F8"/>
              <w:right w:val="single" w:sz="4" w:space="0" w:color="F5F6F8"/>
            </w:tcBorders>
            <w:shd w:val="clear" w:color="auto" w:fill="F5F6F8"/>
          </w:tcPr>
          <w:p>
            <w:pPr>
              <w:spacing w:before="120" w:after="120"/>
              <w:ind w:left="142"/>
            </w:pPr>
            <w:r>
              <w:rPr>
                <w:b/>
                <w:i w:val="0"/>
                <w:sz w:val="20"/>
                <w:rFonts w:ascii="맑은 고딕" w:hAnsi="맑은 고딕" w:eastAsia="맑은 고딕" w:cs="맑은 고딕"/>
              </w:rPr>
              <w:t>모델도 중요합니다. 하지만 우리가 여전히 볼 수 없는 쪽은 데이터입니다.</w:t>
            </w:r>
          </w:p>
        </w:tc>
      </w:tr>
    </w:tbl>
    <w:p>
      <w:pPr>
        <w:spacing w:after="40"/>
      </w:pPr>
    </w:p>
    <w:p>
      <w:pPr>
        <w:pStyle w:val="Heading1"/>
      </w:pPr>
      <w:r>
        <w:t>4. 법적 리스크는 이미 현실이다</w:t>
      </w:r>
    </w:p>
    <w:p>
      <w:pPr>
        <w:spacing w:before="0" w:after="120"/>
      </w:pPr>
      <w:r>
        <w:rPr>
          <w:b w:val="0"/>
          <w:i w:val="0"/>
          <w:sz w:val="20"/>
          <w:rFonts w:ascii="맑은 고딕" w:hAnsi="맑은 고딕" w:eastAsia="맑은 고딕" w:cs="맑은 고딕"/>
        </w:rPr>
        <w:t>현재 시점 기준 전 세계 약 130~150건의 AI 학습데이터 관련 분쟁이 존재하고 100건 이상이 진행 중이라는 것이 발표자의 집계다. 쟁점은 ① 저작권 침해가 있었는가 ② 개인정보보호법 침해가 있었는가로 모인다. 미국은 연방 차원의 통일된 개인정보보호법이 없어, 대부분 원저작물의 권리자가 AI 회사를 상대로 손해배상 청구 + 금지명령을 구하는 구조로 간다.</w:t>
      </w:r>
    </w:p>
    <w:p>
      <w:pPr>
        <w:pStyle w:val="Heading2"/>
      </w:pPr>
      <w:r>
        <w:t>4-1. 학습데이터 관련 주요 판례 (2024~)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3969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사건</w:t>
            </w:r>
          </w:p>
        </w:tc>
        <w:tc>
          <w:tcPr>
            <w:tcW w:type="dxa" w:w="1134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국가</w:t>
            </w:r>
          </w:p>
        </w:tc>
        <w:tc>
          <w:tcPr>
            <w:tcW w:type="dxa" w:w="907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년도</w:t>
            </w:r>
          </w:p>
        </w:tc>
        <w:tc>
          <w:tcPr>
            <w:tcW w:type="dxa" w:w="1361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승소</w:t>
            </w:r>
          </w:p>
        </w:tc>
        <w:tc>
          <w:tcPr>
            <w:tcW w:type="dxa" w:w="2268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법적 배경</w:t>
            </w:r>
          </w:p>
        </w:tc>
      </w:tr>
      <w:tr>
        <w:tc>
          <w:tcPr>
            <w:tcW w:type="dxa" w:w="3969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Li v. Liu</w:t>
            </w:r>
          </w:p>
        </w:tc>
        <w:tc>
          <w:tcPr>
            <w:tcW w:type="dxa" w:w="1134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중국</w:t>
            </w:r>
          </w:p>
        </w:tc>
        <w:tc>
          <w:tcPr>
            <w:tcW w:type="dxa" w:w="907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2024</w:t>
            </w:r>
          </w:p>
        </w:tc>
        <w:tc>
          <w:tcPr>
            <w:tcW w:type="dxa" w:w="1361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원고</w:t>
            </w:r>
          </w:p>
        </w:tc>
        <w:tc>
          <w:tcPr>
            <w:tcW w:type="dxa" w:w="2268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저작권법</w:t>
            </w:r>
          </w:p>
        </w:tc>
      </w:tr>
      <w:tr>
        <w:tc>
          <w:tcPr>
            <w:tcW w:type="dxa" w:w="3969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Sin Changhwa Cultural Development LLC v. AI Company</w:t>
            </w:r>
          </w:p>
        </w:tc>
        <w:tc>
          <w:tcPr>
            <w:tcW w:type="dxa" w:w="1134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중국</w:t>
            </w:r>
          </w:p>
        </w:tc>
        <w:tc>
          <w:tcPr>
            <w:tcW w:type="dxa" w:w="907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2024</w:t>
            </w:r>
          </w:p>
        </w:tc>
        <w:tc>
          <w:tcPr>
            <w:tcW w:type="dxa" w:w="1361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원고</w:t>
            </w:r>
          </w:p>
        </w:tc>
        <w:tc>
          <w:tcPr>
            <w:tcW w:type="dxa" w:w="2268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저작권법</w:t>
            </w:r>
          </w:p>
        </w:tc>
      </w:tr>
      <w:tr>
        <w:tc>
          <w:tcPr>
            <w:tcW w:type="dxa" w:w="3969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Thomson Reuters v. ROSS Intelligence</w:t>
            </w:r>
          </w:p>
        </w:tc>
        <w:tc>
          <w:tcPr>
            <w:tcW w:type="dxa" w:w="1134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미국</w:t>
            </w:r>
          </w:p>
        </w:tc>
        <w:tc>
          <w:tcPr>
            <w:tcW w:type="dxa" w:w="907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2025</w:t>
            </w:r>
          </w:p>
        </w:tc>
        <w:tc>
          <w:tcPr>
            <w:tcW w:type="dxa" w:w="1361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원고</w:t>
            </w:r>
          </w:p>
        </w:tc>
        <w:tc>
          <w:tcPr>
            <w:tcW w:type="dxa" w:w="2268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저작권법 (공정이용)</w:t>
            </w:r>
          </w:p>
        </w:tc>
      </w:tr>
      <w:tr>
        <w:tc>
          <w:tcPr>
            <w:tcW w:type="dxa" w:w="3969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Andrea Bartz v. Anthropic</w:t>
            </w:r>
          </w:p>
        </w:tc>
        <w:tc>
          <w:tcPr>
            <w:tcW w:type="dxa" w:w="1134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미국</w:t>
            </w:r>
          </w:p>
        </w:tc>
        <w:tc>
          <w:tcPr>
            <w:tcW w:type="dxa" w:w="907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2025</w:t>
            </w:r>
          </w:p>
        </w:tc>
        <w:tc>
          <w:tcPr>
            <w:tcW w:type="dxa" w:w="1361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원고</w:t>
            </w:r>
          </w:p>
        </w:tc>
        <w:tc>
          <w:tcPr>
            <w:tcW w:type="dxa" w:w="2268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저작권법 (공정이용)</w:t>
            </w:r>
          </w:p>
        </w:tc>
      </w:tr>
      <w:tr>
        <w:tc>
          <w:tcPr>
            <w:tcW w:type="dxa" w:w="3969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Kadrey v. Meta</w:t>
            </w:r>
          </w:p>
        </w:tc>
        <w:tc>
          <w:tcPr>
            <w:tcW w:type="dxa" w:w="1134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미국</w:t>
            </w:r>
          </w:p>
        </w:tc>
        <w:tc>
          <w:tcPr>
            <w:tcW w:type="dxa" w:w="907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2025</w:t>
            </w:r>
          </w:p>
        </w:tc>
        <w:tc>
          <w:tcPr>
            <w:tcW w:type="dxa" w:w="1361"/>
          </w:tcPr>
          <w:p>
            <w:pPr>
              <w:spacing w:before="40" w:after="40" w:line="288" w:lineRule="auto"/>
            </w:pPr>
            <w:r>
              <w:rPr>
                <w:b/>
                <w:sz w:val="18"/>
                <w:rFonts w:ascii="맑은 고딕" w:hAnsi="맑은 고딕" w:eastAsia="맑은 고딕" w:cs="맑은 고딕"/>
              </w:rPr>
              <w:t>피고(AI사)</w:t>
            </w:r>
          </w:p>
        </w:tc>
        <w:tc>
          <w:tcPr>
            <w:tcW w:type="dxa" w:w="2268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저작권법 (공정이용)</w:t>
            </w:r>
          </w:p>
        </w:tc>
      </w:tr>
      <w:tr>
        <w:tc>
          <w:tcPr>
            <w:tcW w:type="dxa" w:w="3969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Getty Images v. Stability AI</w:t>
            </w:r>
          </w:p>
        </w:tc>
        <w:tc>
          <w:tcPr>
            <w:tcW w:type="dxa" w:w="1134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영국</w:t>
            </w:r>
          </w:p>
        </w:tc>
        <w:tc>
          <w:tcPr>
            <w:tcW w:type="dxa" w:w="907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2025</w:t>
            </w:r>
          </w:p>
        </w:tc>
        <w:tc>
          <w:tcPr>
            <w:tcW w:type="dxa" w:w="1361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sz w:val="18"/>
                <w:rFonts w:ascii="맑은 고딕" w:hAnsi="맑은 고딕" w:eastAsia="맑은 고딕" w:cs="맑은 고딕"/>
              </w:rPr>
              <w:t>피고(AI사)</w:t>
            </w:r>
          </w:p>
        </w:tc>
        <w:tc>
          <w:tcPr>
            <w:tcW w:type="dxa" w:w="2268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저작권법</w:t>
            </w:r>
          </w:p>
        </w:tc>
      </w:tr>
      <w:tr>
        <w:tc>
          <w:tcPr>
            <w:tcW w:type="dxa" w:w="3969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GEMA v. OpenAI</w:t>
            </w:r>
          </w:p>
        </w:tc>
        <w:tc>
          <w:tcPr>
            <w:tcW w:type="dxa" w:w="1134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독일</w:t>
            </w:r>
          </w:p>
        </w:tc>
        <w:tc>
          <w:tcPr>
            <w:tcW w:type="dxa" w:w="907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2025</w:t>
            </w:r>
          </w:p>
        </w:tc>
        <w:tc>
          <w:tcPr>
            <w:tcW w:type="dxa" w:w="1361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원고</w:t>
            </w:r>
          </w:p>
        </w:tc>
        <w:tc>
          <w:tcPr>
            <w:tcW w:type="dxa" w:w="2268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저작권법</w:t>
            </w:r>
          </w:p>
        </w:tc>
      </w:tr>
      <w:tr>
        <w:tc>
          <w:tcPr>
            <w:tcW w:type="dxa" w:w="3969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GEMA v. Suno</w:t>
            </w:r>
          </w:p>
        </w:tc>
        <w:tc>
          <w:tcPr>
            <w:tcW w:type="dxa" w:w="1134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독일</w:t>
            </w:r>
          </w:p>
        </w:tc>
        <w:tc>
          <w:tcPr>
            <w:tcW w:type="dxa" w:w="907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2026</w:t>
            </w:r>
          </w:p>
        </w:tc>
        <w:tc>
          <w:tcPr>
            <w:tcW w:type="dxa" w:w="1361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원고</w:t>
            </w:r>
          </w:p>
        </w:tc>
        <w:tc>
          <w:tcPr>
            <w:tcW w:type="dxa" w:w="2268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저작권법 (미·독)</w:t>
            </w:r>
          </w:p>
        </w:tc>
      </w:tr>
    </w:tbl>
    <w:p>
      <w:pPr>
        <w:spacing w:after="40"/>
      </w:pPr>
    </w:p>
    <w:p>
      <w:pPr>
        <w:pStyle w:val="Heading2"/>
      </w:pPr>
      <w:r>
        <w:t>4-2. 오픈소스 컴플라이언스와의 성숙도 격차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1701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영역</w:t>
            </w:r>
          </w:p>
        </w:tc>
        <w:tc>
          <w:tcPr>
            <w:tcW w:type="dxa" w:w="7937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축적된 역사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88" w:lineRule="auto"/>
            </w:pPr>
            <w:r>
              <w:rPr>
                <w:b/>
                <w:sz w:val="18"/>
                <w:rFonts w:ascii="맑은 고딕" w:hAnsi="맑은 고딕" w:eastAsia="맑은 고딕" w:cs="맑은 고딕"/>
              </w:rPr>
              <w:t>Open Source</w:t>
            </w:r>
          </w:p>
        </w:tc>
        <w:tc>
          <w:tcPr>
            <w:tcW w:type="dxa" w:w="7937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 xml:space="preserve">AFPA v. Edu4 → SCO v. IBM($1B, 2003) → BusyBox(2007) → Jacobsen v. Katzer(2008) → Google v. Oracle(2018) → 현재. </w:t>
            </w:r>
            <w:r>
              <w:rPr>
                <w:b/>
                <w:sz w:val="18"/>
                <w:rFonts w:ascii="맑은 고딕" w:hAnsi="맑은 고딕" w:eastAsia="맑은 고딕" w:cs="맑은 고딕"/>
              </w:rPr>
              <w:t>20년 넘게 다듬어져 준비되어 있음</w:t>
            </w:r>
          </w:p>
        </w:tc>
      </w:tr>
      <w:tr>
        <w:tc>
          <w:tcPr>
            <w:tcW w:type="dxa" w:w="1701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sz w:val="18"/>
                <w:rFonts w:ascii="맑은 고딕" w:hAnsi="맑은 고딕" w:eastAsia="맑은 고딕" w:cs="맑은 고딕"/>
              </w:rPr>
              <w:t>Open Data</w:t>
            </w:r>
          </w:p>
        </w:tc>
        <w:tc>
          <w:tcPr>
            <w:tcW w:type="dxa" w:w="7937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 xml:space="preserve">Getty Image v. Stable Diffusion(2023) → 중국 2건(2024) → Thomson Reuters v. ROSS / Bartz v. Anthropic / GEMA v. OpenAI(2025) → 현재. </w:t>
            </w:r>
            <w:r>
              <w:rPr>
                <w:b/>
                <w:sz w:val="18"/>
                <w:rFonts w:ascii="맑은 고딕" w:hAnsi="맑은 고딕" w:eastAsia="맑은 고딕" w:cs="맑은 고딕"/>
              </w:rPr>
              <w:t>아직 준비되지 않음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4819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Source Code</w:t>
            </w:r>
          </w:p>
        </w:tc>
        <w:tc>
          <w:tcPr>
            <w:tcW w:type="dxa" w:w="4819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AI Training Data</w:t>
            </w:r>
          </w:p>
        </w:tc>
      </w:tr>
      <w:tr>
        <w:tc>
          <w:tcPr>
            <w:tcW w:type="dxa" w:w="4819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형태: 코드</w:t>
            </w:r>
          </w:p>
        </w:tc>
        <w:tc>
          <w:tcPr>
            <w:tcW w:type="dxa" w:w="4819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형태: 코드, 텍스트, 이미지, 영상, 오디오 등</w:t>
            </w:r>
          </w:p>
        </w:tc>
      </w:tr>
      <w:tr>
        <w:tc>
          <w:tcPr>
            <w:tcW w:type="dxa" w:w="4819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이용 목적: 소프트웨어 개발</w:t>
            </w:r>
          </w:p>
        </w:tc>
        <w:tc>
          <w:tcPr>
            <w:tcW w:type="dxa" w:w="4819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 xml:space="preserve">이용 목적: </w:t>
            </w:r>
            <w:r>
              <w:rPr>
                <w:b/>
                <w:sz w:val="18"/>
                <w:rFonts w:ascii="맑은 고딕" w:hAnsi="맑은 고딕" w:eastAsia="맑은 고딕" w:cs="맑은 고딕"/>
              </w:rPr>
              <w:t>본래 저작물의 목적과 다른 목적</w:t>
            </w:r>
          </w:p>
        </w:tc>
      </w:tr>
      <w:tr>
        <w:tc>
          <w:tcPr>
            <w:tcW w:type="dxa" w:w="4819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컴플라이언스: 표준화되어 준수됨</w:t>
            </w:r>
          </w:p>
        </w:tc>
        <w:tc>
          <w:tcPr>
            <w:tcW w:type="dxa" w:w="4819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 xml:space="preserve">컴플라이언스: </w:t>
            </w:r>
            <w:r>
              <w:rPr>
                <w:b/>
                <w:sz w:val="18"/>
                <w:rFonts w:ascii="맑은 고딕" w:hAnsi="맑은 고딕" w:eastAsia="맑은 고딕" w:cs="맑은 고딕"/>
              </w:rPr>
              <w:t>표준화되지 않음</w:t>
            </w:r>
          </w:p>
        </w:tc>
      </w:tr>
      <w:tr>
        <w:tc>
          <w:tcPr>
            <w:tcW w:type="dxa" w:w="4819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고지의 의무: 표준화되어 준수됨</w:t>
            </w:r>
          </w:p>
        </w:tc>
        <w:tc>
          <w:tcPr>
            <w:tcW w:type="dxa" w:w="4819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 xml:space="preserve">고지의 의무: </w:t>
            </w:r>
            <w:r>
              <w:rPr>
                <w:b/>
                <w:sz w:val="18"/>
                <w:rFonts w:ascii="맑은 고딕" w:hAnsi="맑은 고딕" w:eastAsia="맑은 고딕" w:cs="맑은 고딕"/>
              </w:rPr>
              <w:t>표준화되지 않음</w:t>
            </w:r>
          </w:p>
        </w:tc>
      </w:tr>
      <w:tr>
        <w:tc>
          <w:tcPr>
            <w:tcW w:type="dxa" w:w="4819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Source Code → compile → Software</w:t>
            </w:r>
          </w:p>
        </w:tc>
        <w:tc>
          <w:tcPr>
            <w:tcW w:type="dxa" w:w="4819"/>
          </w:tcPr>
          <w:p>
            <w:pPr>
              <w:spacing w:before="40" w:after="40" w:line="288" w:lineRule="auto"/>
            </w:pPr>
            <w:r>
              <w:rPr>
                <w:b/>
                <w:sz w:val="18"/>
                <w:rFonts w:ascii="맑은 고딕" w:hAnsi="맑은 고딕" w:eastAsia="맑은 고딕" w:cs="맑은 고딕"/>
              </w:rPr>
              <w:t>Data + Source Code → train → AI Model</w:t>
            </w:r>
            <w:r>
              <w:rPr>
                <w:b w:val="0"/>
                <w:sz w:val="18"/>
                <w:rFonts w:ascii="맑은 고딕" w:hAnsi="맑은 고딕" w:eastAsia="맑은 고딕" w:cs="맑은 고딕"/>
              </w:rPr>
              <w:t xml:space="preserve"> (데이터가 결과물의 일부가 된다)</w:t>
            </w:r>
          </w:p>
        </w:tc>
      </w:tr>
    </w:tbl>
    <w:p>
      <w:pPr>
        <w:spacing w:after="40"/>
      </w:pPr>
    </w:p>
    <w:p>
      <w:pPr>
        <w:pStyle w:val="Heading2"/>
      </w:pPr>
      <w:r>
        <w:t>4-3. 국가별 면책 규정 — 파편화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417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국가</w:t>
            </w:r>
          </w:p>
        </w:tc>
        <w:tc>
          <w:tcPr>
            <w:tcW w:type="dxa" w:w="3118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항변 근거</w:t>
            </w:r>
          </w:p>
        </w:tc>
        <w:tc>
          <w:tcPr>
            <w:tcW w:type="dxa" w:w="5102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핵심 조항</w:t>
            </w:r>
          </w:p>
        </w:tc>
      </w:tr>
      <w:tr>
        <w:tc>
          <w:tcPr>
            <w:tcW w:type="dxa" w:w="1417"/>
          </w:tcPr>
          <w:p>
            <w:pPr>
              <w:spacing w:before="40" w:after="40" w:line="288" w:lineRule="auto"/>
            </w:pPr>
            <w:r>
              <w:rPr>
                <w:b/>
                <w:sz w:val="18"/>
                <w:rFonts w:ascii="맑은 고딕" w:hAnsi="맑은 고딕" w:eastAsia="맑은 고딕" w:cs="맑은 고딕"/>
              </w:rPr>
              <w:t>미국</w:t>
            </w:r>
          </w:p>
        </w:tc>
        <w:tc>
          <w:tcPr>
            <w:tcW w:type="dxa" w:w="3118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Fair Use</w:t>
            </w:r>
          </w:p>
        </w:tc>
        <w:tc>
          <w:tcPr>
            <w:tcW w:type="dxa" w:w="5102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17 U.S.C. § 107 (4요소 형량)</w:t>
            </w:r>
          </w:p>
        </w:tc>
      </w:tr>
      <w:tr>
        <w:tc>
          <w:tcPr>
            <w:tcW w:type="dxa" w:w="1417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sz w:val="18"/>
                <w:rFonts w:ascii="맑은 고딕" w:hAnsi="맑은 고딕" w:eastAsia="맑은 고딕" w:cs="맑은 고딕"/>
              </w:rPr>
              <w:t>한국</w:t>
            </w:r>
          </w:p>
        </w:tc>
        <w:tc>
          <w:tcPr>
            <w:tcW w:type="dxa" w:w="3118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공정이용</w:t>
            </w:r>
          </w:p>
        </w:tc>
        <w:tc>
          <w:tcPr>
            <w:tcW w:type="dxa" w:w="5102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저작권법 제35조의5</w:t>
            </w:r>
          </w:p>
        </w:tc>
      </w:tr>
      <w:tr>
        <w:tc>
          <w:tcPr>
            <w:tcW w:type="dxa" w:w="1417"/>
          </w:tcPr>
          <w:p>
            <w:pPr>
              <w:spacing w:before="40" w:after="40" w:line="288" w:lineRule="auto"/>
            </w:pPr>
            <w:r>
              <w:rPr>
                <w:b/>
                <w:sz w:val="18"/>
                <w:rFonts w:ascii="맑은 고딕" w:hAnsi="맑은 고딕" w:eastAsia="맑은 고딕" w:cs="맑은 고딕"/>
              </w:rPr>
              <w:t>EU</w:t>
            </w:r>
          </w:p>
        </w:tc>
        <w:tc>
          <w:tcPr>
            <w:tcW w:type="dxa" w:w="3118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TDM 예외</w:t>
            </w:r>
          </w:p>
        </w:tc>
        <w:tc>
          <w:tcPr>
            <w:tcW w:type="dxa" w:w="5102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DSM Directive Arts. 3 &amp; 4</w:t>
            </w:r>
          </w:p>
        </w:tc>
      </w:tr>
      <w:tr>
        <w:tc>
          <w:tcPr>
            <w:tcW w:type="dxa" w:w="1417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sz w:val="18"/>
                <w:rFonts w:ascii="맑은 고딕" w:hAnsi="맑은 고딕" w:eastAsia="맑은 고딕" w:cs="맑은 고딕"/>
              </w:rPr>
              <w:t>일본</w:t>
            </w:r>
          </w:p>
        </w:tc>
        <w:tc>
          <w:tcPr>
            <w:tcW w:type="dxa" w:w="3118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정보분석 예외</w:t>
            </w:r>
          </w:p>
        </w:tc>
        <w:tc>
          <w:tcPr>
            <w:tcW w:type="dxa" w:w="5102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저작권법 제30조의4</w:t>
            </w:r>
          </w:p>
        </w:tc>
      </w:tr>
      <w:tr>
        <w:tc>
          <w:tcPr>
            <w:tcW w:type="dxa" w:w="1417"/>
          </w:tcPr>
          <w:p>
            <w:pPr>
              <w:spacing w:before="40" w:after="40" w:line="288" w:lineRule="auto"/>
            </w:pPr>
            <w:r>
              <w:rPr>
                <w:b/>
                <w:sz w:val="18"/>
                <w:rFonts w:ascii="맑은 고딕" w:hAnsi="맑은 고딕" w:eastAsia="맑은 고딕" w:cs="맑은 고딕"/>
              </w:rPr>
              <w:t>싱가포르</w:t>
            </w:r>
          </w:p>
        </w:tc>
        <w:tc>
          <w:tcPr>
            <w:tcW w:type="dxa" w:w="3118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전산데이터분석(CDA) 예외</w:t>
            </w:r>
          </w:p>
        </w:tc>
        <w:tc>
          <w:tcPr>
            <w:tcW w:type="dxa" w:w="5102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Copyright Act 2021 §§ 243–244</w:t>
            </w:r>
          </w:p>
        </w:tc>
      </w:tr>
      <w:tr>
        <w:tc>
          <w:tcPr>
            <w:tcW w:type="dxa" w:w="1417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sz w:val="18"/>
                <w:rFonts w:ascii="맑은 고딕" w:hAnsi="맑은 고딕" w:eastAsia="맑은 고딕" w:cs="맑은 고딕"/>
              </w:rPr>
              <w:t>영국</w:t>
            </w:r>
          </w:p>
        </w:tc>
        <w:tc>
          <w:tcPr>
            <w:tcW w:type="dxa" w:w="3118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Fair Dealing</w:t>
            </w:r>
          </w:p>
        </w:tc>
        <w:tc>
          <w:tcPr>
            <w:tcW w:type="dxa" w:w="5102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CDPA 1988 §§ 29–30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left w:val="single" w:sz="24" w:space="0" w:color="1F3B73"/>
              <w:top w:val="single" w:sz="4" w:space="0" w:color="F5F6F8"/>
              <w:bottom w:val="single" w:sz="4" w:space="0" w:color="F5F6F8"/>
              <w:right w:val="single" w:sz="4" w:space="0" w:color="F5F6F8"/>
            </w:tcBorders>
            <w:shd w:val="clear" w:color="auto" w:fill="F5F6F8"/>
          </w:tcPr>
          <w:p>
            <w:pPr>
              <w:spacing w:before="120" w:after="120"/>
              <w:ind w:left="142"/>
            </w:pPr>
            <w:r>
              <w:rPr>
                <w:b/>
                <w:i w:val="0"/>
                <w:sz w:val="20"/>
                <w:rFonts w:ascii="맑은 고딕" w:hAnsi="맑은 고딕" w:eastAsia="맑은 고딕" w:cs="맑은 고딕"/>
              </w:rPr>
              <w:t>국가별로 저작권법상의 면책은 파편화되고 있고, 예측 가능성은 줄어들고 있습니다.</w:t>
            </w:r>
          </w:p>
        </w:tc>
      </w:tr>
    </w:tbl>
    <w:p>
      <w:pPr>
        <w:spacing w:after="40"/>
      </w:pPr>
    </w:p>
    <w:p>
      <w:pPr>
        <w:pStyle w:val="ListBullet"/>
        <w:spacing w:after="60" w:line="312" w:lineRule="auto"/>
        <w:ind w:left="340"/>
      </w:pPr>
      <w:r>
        <w:rPr>
          <w:sz w:val="20"/>
          <w:rFonts w:ascii="맑은 고딕" w:hAnsi="맑은 고딕" w:eastAsia="맑은 고딕" w:cs="맑은 고딕"/>
        </w:rPr>
        <w:t>한국의 공정이용 조항은 2012년 한미 FTA 당시 미국 저작권법의 공정이용 범위를 거의 그대로 차용한 것.</w:t>
      </w:r>
    </w:p>
    <w:p>
      <w:pPr>
        <w:pStyle w:val="ListBullet"/>
        <w:spacing w:after="60" w:line="312" w:lineRule="auto"/>
        <w:ind w:left="340"/>
      </w:pPr>
      <w:r>
        <w:rPr>
          <w:sz w:val="20"/>
          <w:rFonts w:ascii="맑은 고딕" w:hAnsi="맑은 고딕" w:eastAsia="맑은 고딕" w:cs="맑은 고딕"/>
        </w:rPr>
        <w:t>문제는 글로벌 배포. 모델을 허깅페이스에 올리면 지구 반대편까지 도달하는데, 그 국가의 저작권법은 어떤지, 항변 근거는 무엇인지를 매번 리서치해야 한다. 파편화가 심해질수록 기업 내부 컴플라이언스 체계에 소모되는 에너지가 급증한다.</w:t>
      </w:r>
    </w:p>
    <w:p>
      <w:pPr>
        <w:pStyle w:val="ListBullet"/>
        <w:spacing w:after="60" w:line="312" w:lineRule="auto"/>
        <w:ind w:left="340"/>
      </w:pPr>
      <w:r>
        <w:rPr>
          <w:sz w:val="20"/>
          <w:rFonts w:ascii="맑은 고딕" w:hAnsi="맑은 고딕" w:eastAsia="맑은 고딕" w:cs="맑은 고딕"/>
        </w:rPr>
        <w:t>고객 요구도 실재한다 — AI 모델을 제3자·고객사에 제공할 때 「학습데이터를 뭘로 썼는지 공개해 달라」는 요청이 그룹사 포함해 꽤 들어온다.</w:t>
      </w:r>
    </w:p>
    <w:p>
      <w:pPr>
        <w:pStyle w:val="Heading2"/>
      </w:pPr>
      <w:r>
        <w:t>4-4. Andrea Bartz v. Anthropic — 같은 학습, 다른 결론</w:t>
      </w:r>
    </w:p>
    <w:p>
      <w:pPr>
        <w:spacing w:before="0" w:after="120"/>
      </w:pPr>
      <w:r>
        <w:rPr>
          <w:b w:val="0"/>
          <w:i w:val="0"/>
          <w:sz w:val="20"/>
          <w:rFonts w:ascii="맑은 고딕" w:hAnsi="맑은 고딕" w:eastAsia="맑은 고딕" w:cs="맑은 고딕"/>
        </w:rPr>
        <w:t>같은 AI 학습이라도 데이터를 어떻게 취득했는가에 따라 공정이용 판단이 갈렸다.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3402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공정이용 4요소</w:t>
            </w:r>
          </w:p>
        </w:tc>
        <w:tc>
          <w:tcPr>
            <w:tcW w:type="dxa" w:w="2098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① LLM 학습을 위한 복제</w:t>
            </w:r>
          </w:p>
        </w:tc>
        <w:tc>
          <w:tcPr>
            <w:tcW w:type="dxa" w:w="2098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② 구매한 책의 디지털화</w:t>
            </w:r>
          </w:p>
        </w:tc>
        <w:tc>
          <w:tcPr>
            <w:tcW w:type="dxa" w:w="2041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③ 불법 다운로드 도서 저장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88" w:lineRule="auto"/>
            </w:pPr>
            <w:r>
              <w:rPr>
                <w:b/>
                <w:sz w:val="18"/>
                <w:rFonts w:ascii="맑은 고딕" w:hAnsi="맑은 고딕" w:eastAsia="맑은 고딕" w:cs="맑은 고딕"/>
              </w:rPr>
              <w:t>제1요소: 이용의 목적과 성격</w:t>
            </w:r>
          </w:p>
        </w:tc>
        <w:tc>
          <w:tcPr>
            <w:tcW w:type="dxa" w:w="2098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피고 유리</w:t>
            </w:r>
          </w:p>
        </w:tc>
        <w:tc>
          <w:tcPr>
            <w:tcW w:type="dxa" w:w="2098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피고 유리</w:t>
            </w:r>
          </w:p>
        </w:tc>
        <w:tc>
          <w:tcPr>
            <w:tcW w:type="dxa" w:w="2041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원고 유리</w:t>
            </w:r>
          </w:p>
        </w:tc>
      </w:tr>
      <w:tr>
        <w:tc>
          <w:tcPr>
            <w:tcW w:type="dxa" w:w="3402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sz w:val="18"/>
                <w:rFonts w:ascii="맑은 고딕" w:hAnsi="맑은 고딕" w:eastAsia="맑은 고딕" w:cs="맑은 고딕"/>
              </w:rPr>
              <w:t>제2요소: 원저작물의 성격</w:t>
            </w:r>
          </w:p>
        </w:tc>
        <w:tc>
          <w:tcPr>
            <w:tcW w:type="dxa" w:w="2098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원고 유리</w:t>
            </w:r>
          </w:p>
        </w:tc>
        <w:tc>
          <w:tcPr>
            <w:tcW w:type="dxa" w:w="2098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원고 유리</w:t>
            </w:r>
          </w:p>
        </w:tc>
        <w:tc>
          <w:tcPr>
            <w:tcW w:type="dxa" w:w="2041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원고 유리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88" w:lineRule="auto"/>
            </w:pPr>
            <w:r>
              <w:rPr>
                <w:b/>
                <w:sz w:val="18"/>
                <w:rFonts w:ascii="맑은 고딕" w:hAnsi="맑은 고딕" w:eastAsia="맑은 고딕" w:cs="맑은 고딕"/>
              </w:rPr>
              <w:t>제3요소: 이용된 부분의 양과 중요성</w:t>
            </w:r>
          </w:p>
        </w:tc>
        <w:tc>
          <w:tcPr>
            <w:tcW w:type="dxa" w:w="2098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피고 유리</w:t>
            </w:r>
          </w:p>
        </w:tc>
        <w:tc>
          <w:tcPr>
            <w:tcW w:type="dxa" w:w="2098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피고 유리</w:t>
            </w:r>
          </w:p>
        </w:tc>
        <w:tc>
          <w:tcPr>
            <w:tcW w:type="dxa" w:w="2041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원고 유리</w:t>
            </w:r>
          </w:p>
        </w:tc>
      </w:tr>
      <w:tr>
        <w:tc>
          <w:tcPr>
            <w:tcW w:type="dxa" w:w="3402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sz w:val="18"/>
                <w:rFonts w:ascii="맑은 고딕" w:hAnsi="맑은 고딕" w:eastAsia="맑은 고딕" w:cs="맑은 고딕"/>
              </w:rPr>
              <w:t>제4요소: 잠재적 시장·가치에 미치는 영향</w:t>
            </w:r>
          </w:p>
        </w:tc>
        <w:tc>
          <w:tcPr>
            <w:tcW w:type="dxa" w:w="2098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피고 유리</w:t>
            </w:r>
          </w:p>
        </w:tc>
        <w:tc>
          <w:tcPr>
            <w:tcW w:type="dxa" w:w="2098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중립</w:t>
            </w:r>
          </w:p>
        </w:tc>
        <w:tc>
          <w:tcPr>
            <w:tcW w:type="dxa" w:w="2041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원고 유리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88" w:lineRule="auto"/>
            </w:pPr>
            <w:r>
              <w:rPr>
                <w:b/>
                <w:sz w:val="18"/>
                <w:rFonts w:ascii="맑은 고딕" w:hAnsi="맑은 고딕" w:eastAsia="맑은 고딕" w:cs="맑은 고딕"/>
              </w:rPr>
              <w:t>공정이용?</w:t>
            </w:r>
          </w:p>
        </w:tc>
        <w:tc>
          <w:tcPr>
            <w:tcW w:type="dxa" w:w="2098"/>
          </w:tcPr>
          <w:p>
            <w:pPr>
              <w:spacing w:before="40" w:after="40" w:line="288" w:lineRule="auto"/>
            </w:pPr>
            <w:r>
              <w:rPr>
                <w:b/>
                <w:sz w:val="18"/>
                <w:rFonts w:ascii="맑은 고딕" w:hAnsi="맑은 고딕" w:eastAsia="맑은 고딕" w:cs="맑은 고딕"/>
              </w:rPr>
              <w:t>인정 O</w:t>
            </w:r>
          </w:p>
        </w:tc>
        <w:tc>
          <w:tcPr>
            <w:tcW w:type="dxa" w:w="2098"/>
          </w:tcPr>
          <w:p>
            <w:pPr>
              <w:spacing w:before="40" w:after="40" w:line="288" w:lineRule="auto"/>
            </w:pPr>
            <w:r>
              <w:rPr>
                <w:b/>
                <w:sz w:val="18"/>
                <w:rFonts w:ascii="맑은 고딕" w:hAnsi="맑은 고딕" w:eastAsia="맑은 고딕" w:cs="맑은 고딕"/>
              </w:rPr>
              <w:t>인정 O</w:t>
            </w:r>
          </w:p>
        </w:tc>
        <w:tc>
          <w:tcPr>
            <w:tcW w:type="dxa" w:w="2041"/>
          </w:tcPr>
          <w:p>
            <w:pPr>
              <w:spacing w:before="40" w:after="40" w:line="288" w:lineRule="auto"/>
            </w:pPr>
            <w:r>
              <w:rPr>
                <w:b/>
                <w:sz w:val="18"/>
                <w:rFonts w:ascii="맑은 고딕" w:hAnsi="맑은 고딕" w:eastAsia="맑은 고딕" w:cs="맑은 고딕"/>
              </w:rPr>
              <w:t>부정 X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left w:val="single" w:sz="24" w:space="0" w:color="1F3B73"/>
              <w:top w:val="single" w:sz="4" w:space="0" w:color="F5F6F8"/>
              <w:bottom w:val="single" w:sz="4" w:space="0" w:color="F5F6F8"/>
              <w:right w:val="single" w:sz="4" w:space="0" w:color="F5F6F8"/>
            </w:tcBorders>
            <w:shd w:val="clear" w:color="auto" w:fill="F5F6F8"/>
          </w:tcPr>
          <w:p>
            <w:pPr>
              <w:spacing w:before="120" w:after="120"/>
              <w:ind w:left="142"/>
            </w:pPr>
            <w:r>
              <w:rPr>
                <w:b/>
                <w:i w:val="0"/>
                <w:sz w:val="20"/>
                <w:rFonts w:ascii="맑은 고딕" w:hAnsi="맑은 고딕" w:eastAsia="맑은 고딕" w:cs="맑은 고딕"/>
              </w:rPr>
              <w:t>문제는, 우리가 사용하는 데이터셋이 어디서 온 데이터인지 모른다는 데 있습니다.</w:t>
            </w:r>
          </w:p>
        </w:tc>
      </w:tr>
    </w:tbl>
    <w:p>
      <w:pPr>
        <w:spacing w:after="40"/>
      </w:pPr>
    </w:p>
    <w:p>
      <w:pPr>
        <w:pStyle w:val="Heading2"/>
      </w:pPr>
      <w:r>
        <w:t>4-5. 세계는 이미 같은 질문을 시작했다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1701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주체</w:t>
            </w:r>
          </w:p>
        </w:tc>
        <w:tc>
          <w:tcPr>
            <w:tcW w:type="dxa" w:w="7937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묻는 방식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88" w:lineRule="auto"/>
            </w:pPr>
            <w:r>
              <w:rPr>
                <w:b/>
                <w:sz w:val="18"/>
                <w:rFonts w:ascii="맑은 고딕" w:hAnsi="맑은 고딕" w:eastAsia="맑은 고딕" w:cs="맑은 고딕"/>
              </w:rPr>
              <w:t>법원</w:t>
            </w:r>
          </w:p>
        </w:tc>
        <w:tc>
          <w:tcPr>
            <w:tcW w:type="dxa" w:w="7937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 xml:space="preserve">「이 자료는 어디서 왔고, 누가 그 사용을 허락했는가?」 — Bartz는 </w:t>
            </w:r>
            <w:r>
              <w:rPr>
                <w:b/>
                <w:sz w:val="18"/>
                <w:rFonts w:ascii="맑은 고딕" w:hAnsi="맑은 고딕" w:eastAsia="맑은 고딕" w:cs="맑은 고딕"/>
              </w:rPr>
              <w:t>책을 어떻게 취득했는지</w:t>
            </w:r>
            <w:r>
              <w:rPr>
                <w:b w:val="0"/>
                <w:sz w:val="18"/>
                <w:rFonts w:ascii="맑은 고딕" w:hAnsi="맑은 고딕" w:eastAsia="맑은 고딕" w:cs="맑은 고딕"/>
              </w:rPr>
              <w:t xml:space="preserve">를, Getty는 </w:t>
            </w:r>
            <w:r>
              <w:rPr>
                <w:b/>
                <w:sz w:val="18"/>
                <w:rFonts w:ascii="맑은 고딕" w:hAnsi="맑은 고딕" w:eastAsia="맑은 고딕" w:cs="맑은 고딕"/>
              </w:rPr>
              <w:t>복제가 어디서 일어났는지</w:t>
            </w:r>
            <w:r>
              <w:rPr>
                <w:b w:val="0"/>
                <w:sz w:val="18"/>
                <w:rFonts w:ascii="맑은 고딕" w:hAnsi="맑은 고딕" w:eastAsia="맑은 고딕" w:cs="맑은 고딕"/>
              </w:rPr>
              <w:t>를 물었다</w:t>
            </w:r>
          </w:p>
        </w:tc>
      </w:tr>
      <w:tr>
        <w:tc>
          <w:tcPr>
            <w:tcW w:type="dxa" w:w="1701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sz w:val="18"/>
                <w:rFonts w:ascii="맑은 고딕" w:hAnsi="맑은 고딕" w:eastAsia="맑은 고딕" w:cs="맑은 고딕"/>
              </w:rPr>
              <w:t>규제기관</w:t>
            </w:r>
          </w:p>
        </w:tc>
        <w:tc>
          <w:tcPr>
            <w:tcW w:type="dxa" w:w="7937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 xml:space="preserve">「시스템이 무엇으로 학습되었는지 요약을 공개하라」 — 캘리포니아 AB 2013은 </w:t>
            </w:r>
            <w:r>
              <w:rPr>
                <w:b/>
                <w:sz w:val="18"/>
                <w:rFonts w:ascii="맑은 고딕" w:hAnsi="맑은 고딕" w:eastAsia="맑은 고딕" w:cs="맑은 고딕"/>
              </w:rPr>
              <w:t>2026년 1월부터 시행 중</w:t>
            </w:r>
            <w:r>
              <w:rPr>
                <w:b w:val="0"/>
                <w:sz w:val="18"/>
                <w:rFonts w:ascii="맑은 고딕" w:hAnsi="맑은 고딕" w:eastAsia="맑은 고딕" w:cs="맑은 고딕"/>
              </w:rPr>
              <w:t>이고, 유사 의무가 다른 나라에도 도입되고 있다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88" w:lineRule="auto"/>
            </w:pPr>
            <w:r>
              <w:rPr>
                <w:b/>
                <w:sz w:val="18"/>
                <w:rFonts w:ascii="맑은 고딕" w:hAnsi="맑은 고딕" w:eastAsia="맑은 고딕" w:cs="맑은 고딕"/>
              </w:rPr>
              <w:t>고객</w:t>
            </w:r>
          </w:p>
        </w:tc>
        <w:tc>
          <w:tcPr>
            <w:tcW w:type="dxa" w:w="7937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 xml:space="preserve">「우리가 도입하는 모델 안에 무엇이 들어 있는지 보여 줄 수 있습니까?」 — </w:t>
            </w:r>
            <w:r>
              <w:rPr>
                <w:b/>
                <w:sz w:val="18"/>
                <w:rFonts w:ascii="맑은 고딕" w:hAnsi="맑은 고딕" w:eastAsia="맑은 고딕" w:cs="맑은 고딕"/>
              </w:rPr>
              <w:t>구매 부서는 이제 SBOM을 요구하듯 데이터 출처를 요구한다</w:t>
            </w:r>
          </w:p>
        </w:tc>
      </w:tr>
    </w:tbl>
    <w:p>
      <w:pPr>
        <w:spacing w:after="40"/>
      </w:pPr>
    </w:p>
    <w:p>
      <w:pPr>
        <w:spacing w:before="0" w:after="120"/>
      </w:pPr>
      <w:r>
        <w:rPr>
          <w:b w:val="0"/>
          <w:i w:val="0"/>
          <w:color w:val="5A606A"/>
          <w:sz w:val="19"/>
          <w:rFonts w:ascii="맑은 고딕" w:hAnsi="맑은 고딕" w:eastAsia="맑은 고딕" w:cs="맑은 고딕"/>
        </w:rPr>
        <w:t>→ 팀 공유 시 가장 설득력 있는 한 장. AI-BOM이 법무 이슈만이 아니라 구매·영업 이슈이기도 함을 보여준다.</w:t>
      </w:r>
    </w:p>
    <w:p>
      <w:r>
        <w:br w:type="page"/>
      </w:r>
    </w:p>
    <w:p>
      <w:pPr>
        <w:pStyle w:val="Heading1"/>
      </w:pPr>
      <w:r>
        <w:t>5. LG AI연구원이 만들고 있는 것</w:t>
      </w:r>
    </w:p>
    <w:p>
      <w:pPr>
        <w:pStyle w:val="Heading2"/>
      </w:pPr>
      <w:r>
        <w:t>5-1. 빠진 고리를 정의한다 — 데이터셋 계보</w:t>
      </w:r>
    </w:p>
    <w:p>
      <w:pPr>
        <w:spacing w:before="0" w:after="120"/>
      </w:pPr>
      <w:r>
        <w:rPr>
          <w:b w:val="0"/>
          <w:i w:val="0"/>
          <w:sz w:val="20"/>
          <w:rFonts w:ascii="맑은 고딕" w:hAnsi="맑은 고딕" w:eastAsia="맑은 고딕" w:cs="맑은 고딕"/>
        </w:rPr>
        <w:t>대한민국 정부의 국가 AI-BOM 프로파일 과제로 수행 중이며, SPDX 3.0을 수정 없이 확장한다.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2835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법적 의무</w:t>
            </w:r>
          </w:p>
        </w:tc>
        <w:tc>
          <w:tcPr>
            <w:tcW w:type="dxa" w:w="3402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문제</w:t>
            </w:r>
          </w:p>
        </w:tc>
        <w:tc>
          <w:tcPr>
            <w:tcW w:type="dxa" w:w="3402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우리가 정의하는 필드</w:t>
            </w:r>
          </w:p>
        </w:tc>
      </w:tr>
      <w:tr>
        <w:tc>
          <w:tcPr>
            <w:tcW w:type="dxa" w:w="2835"/>
          </w:tcPr>
          <w:p>
            <w:pPr>
              <w:spacing w:before="40" w:after="40" w:line="288" w:lineRule="auto"/>
            </w:pPr>
            <w:r>
              <w:rPr>
                <w:b/>
                <w:sz w:val="18"/>
                <w:rFonts w:ascii="맑은 고딕" w:hAnsi="맑은 고딕" w:eastAsia="맑은 고딕" w:cs="맑은 고딕"/>
              </w:rPr>
              <w:t>인공지능 기본법</w:t>
            </w:r>
            <w:r>
              <w:rPr>
                <w:b w:val="0"/>
                <w:sz w:val="18"/>
                <w:rFonts w:ascii="맑은 고딕" w:hAnsi="맑은 고딕" w:eastAsia="맑은 고딕" w:cs="맑은 고딕"/>
              </w:rPr>
              <w:t xml:space="preserve"> — 학습에 사용된 데이터의 개요</w:t>
            </w:r>
          </w:p>
        </w:tc>
        <w:tc>
          <w:tcPr>
            <w:tcW w:type="dxa" w:w="3402"/>
          </w:tcPr>
          <w:p>
            <w:pPr>
              <w:spacing w:before="40" w:after="40" w:line="288" w:lineRule="auto"/>
            </w:pPr>
            <w:r>
              <w:rPr>
                <w:b/>
                <w:sz w:val="18"/>
                <w:rFonts w:ascii="맑은 고딕" w:hAnsi="맑은 고딕" w:eastAsia="맑은 고딕" w:cs="맑은 고딕"/>
              </w:rPr>
              <w:t>문장은 기록이 아니다</w:t>
            </w:r>
            <w:r>
              <w:rPr>
                <w:b w:val="0"/>
                <w:sz w:val="18"/>
                <w:rFonts w:ascii="맑은 고딕" w:hAnsi="맑은 고딕" w:eastAsia="맑은 고딕" w:cs="맑은 고딕"/>
              </w:rPr>
              <w:t xml:space="preserve"> — 「공개 웹데이터로 학습함」 식으로는 검증할 수 있는 것이 없다</w:t>
            </w:r>
          </w:p>
        </w:tc>
        <w:tc>
          <w:tcPr>
            <w:tcW w:type="dxa" w:w="3402"/>
          </w:tcPr>
          <w:p>
            <w:pPr>
              <w:spacing w:before="40" w:after="40" w:line="288" w:lineRule="auto"/>
            </w:pPr>
            <w:r>
              <w:rPr>
                <w:b/>
                <w:sz w:val="18"/>
                <w:rFonts w:ascii="맑은 고딕" w:hAnsi="맑은 고딕" w:eastAsia="맑은 고딕" w:cs="맑은 고딕"/>
              </w:rPr>
              <w:t>데이터셋 계보</w:t>
            </w:r>
            <w:r>
              <w:rPr>
                <w:b w:val="0"/>
                <w:sz w:val="18"/>
                <w:rFonts w:ascii="맑은 고딕" w:hAnsi="맑은 고딕" w:eastAsia="맑은 고딕" w:cs="맑은 고딕"/>
              </w:rPr>
              <w:t xml:space="preserve"> — 문장이 아닌 </w:t>
            </w:r>
            <w:r>
              <w:rPr>
                <w:b/>
                <w:sz w:val="18"/>
                <w:rFonts w:ascii="맑은 고딕" w:hAnsi="맑은 고딕" w:eastAsia="맑은 고딕" w:cs="맑은 고딕"/>
              </w:rPr>
              <w:t>그래프</w:t>
            </w:r>
            <w:r>
              <w:rPr>
                <w:b w:val="0"/>
                <w:sz w:val="18"/>
                <w:rFonts w:ascii="맑은 고딕" w:hAnsi="맑은 고딕" w:eastAsia="맑은 고딕" w:cs="맑은 고딕"/>
              </w:rPr>
              <w:t>. 기계 판독 가능하고 검증 가능</w:t>
            </w:r>
          </w:p>
        </w:tc>
      </w:tr>
    </w:tbl>
    <w:p>
      <w:pPr>
        <w:spacing w:after="40"/>
      </w:pPr>
    </w:p>
    <w:p>
      <w:pPr>
        <w:spacing w:before="0" w:after="120"/>
      </w:pPr>
      <w:r>
        <w:rPr>
          <w:b/>
          <w:i w:val="0"/>
          <w:sz w:val="20"/>
          <w:rFonts w:ascii="맑은 고딕" w:hAnsi="맑은 고딕" w:eastAsia="맑은 고딕" w:cs="맑은 고딕"/>
        </w:rPr>
        <w:t>구조: 모델 ← 데이터셋 ← 데이터 소스 1~4 ← 소스 1-1, 1-2… ← 소스 1-2-1… (더 이상 새로운 소스가 나오지 않을 때까지)</w:t>
      </w:r>
    </w:p>
    <w:p>
      <w:pPr>
        <w:spacing w:before="0" w:after="120"/>
      </w:pPr>
      <w:r>
        <w:rPr>
          <w:b/>
          <w:i w:val="0"/>
          <w:sz w:val="20"/>
          <w:rFonts w:ascii="맑은 고딕" w:hAnsi="맑은 고딕" w:eastAsia="맑은 고딕" w:cs="맑은 고딕"/>
        </w:rPr>
        <w:t>각 엣지에 담기는 정보: 출처 · 라이선스 · 취득 방법 · 용도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left w:val="single" w:sz="24" w:space="0" w:color="1F3B73"/>
              <w:top w:val="single" w:sz="4" w:space="0" w:color="F5F6F8"/>
              <w:bottom w:val="single" w:sz="4" w:space="0" w:color="F5F6F8"/>
              <w:right w:val="single" w:sz="4" w:space="0" w:color="F5F6F8"/>
            </w:tcBorders>
            <w:shd w:val="clear" w:color="auto" w:fill="F5F6F8"/>
          </w:tcPr>
          <w:p>
            <w:pPr>
              <w:spacing w:before="120" w:after="120"/>
              <w:ind w:left="142"/>
            </w:pPr>
            <w:r>
              <w:rPr>
                <w:b w:val="0"/>
                <w:i w:val="0"/>
                <w:sz w:val="20"/>
                <w:rFonts w:ascii="맑은 고딕" w:hAnsi="맑은 고딕" w:eastAsia="맑은 고딕" w:cs="맑은 고딕"/>
              </w:rPr>
              <w:t>한 나라의 법적 의무를 국제 표준의 언어로 옮겼습니다. 대한민국은 신뢰가 국경을 넘는 첫걸음입니다.</w:t>
            </w:r>
          </w:p>
        </w:tc>
      </w:tr>
    </w:tbl>
    <w:p>
      <w:pPr>
        <w:spacing w:after="40"/>
      </w:pPr>
    </w:p>
    <w:p>
      <w:pPr>
        <w:pStyle w:val="Heading2"/>
      </w:pPr>
      <w:r>
        <w:t>5-2. 왜 공급망의 「끝」까지 추적해야 하는가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417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단계</w:t>
            </w:r>
          </w:p>
        </w:tc>
        <w:tc>
          <w:tcPr>
            <w:tcW w:type="dxa" w:w="1984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무엇</w:t>
            </w:r>
          </w:p>
        </w:tc>
        <w:tc>
          <w:tcPr>
            <w:tcW w:type="dxa" w:w="6236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무슨 일이 일어났나</w:t>
            </w:r>
          </w:p>
        </w:tc>
      </w:tr>
      <w:tr>
        <w:tc>
          <w:tcPr>
            <w:tcW w:type="dxa" w:w="1417"/>
          </w:tcPr>
          <w:p>
            <w:pPr>
              <w:spacing w:before="40" w:after="40" w:line="288" w:lineRule="auto"/>
            </w:pPr>
            <w:r>
              <w:rPr>
                <w:b/>
                <w:sz w:val="18"/>
                <w:rFonts w:ascii="맑은 고딕" w:hAnsi="맑은 고딕" w:eastAsia="맑은 고딕" w:cs="맑은 고딕"/>
              </w:rPr>
              <w:t>시작점</w:t>
            </w:r>
          </w:p>
        </w:tc>
        <w:tc>
          <w:tcPr>
            <w:tcW w:type="dxa" w:w="1984"/>
          </w:tcPr>
          <w:p>
            <w:pPr>
              <w:spacing w:before="40" w:after="40" w:line="288" w:lineRule="auto"/>
            </w:pPr>
            <w:r>
              <w:rPr>
                <w:b/>
                <w:sz w:val="18"/>
                <w:rFonts w:ascii="맑은 고딕" w:hAnsi="맑은 고딕" w:eastAsia="맑은 고딕" w:cs="맑은 고딕"/>
              </w:rPr>
              <w:t>Bibliotik</w:t>
            </w:r>
          </w:p>
        </w:tc>
        <w:tc>
          <w:tcPr>
            <w:tcW w:type="dxa" w:w="6236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 xml:space="preserve">비공개 트래커 — </w:t>
            </w:r>
            <w:r>
              <w:rPr>
                <w:b/>
                <w:sz w:val="18"/>
                <w:rFonts w:ascii="맑은 고딕" w:hAnsi="맑은 고딕" w:eastAsia="맑은 고딕" w:cs="맑은 고딕"/>
              </w:rPr>
              <w:t>불법 저작물 도서 유통 사이트</w:t>
            </w:r>
          </w:p>
        </w:tc>
      </w:tr>
      <w:tr>
        <w:tc>
          <w:tcPr>
            <w:tcW w:type="dxa" w:w="1417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sz w:val="18"/>
                <w:rFonts w:ascii="맑은 고딕" w:hAnsi="맑은 고딕" w:eastAsia="맑은 고딕" w:cs="맑은 고딕"/>
              </w:rPr>
              <w:t>복제</w:t>
            </w:r>
          </w:p>
        </w:tc>
        <w:tc>
          <w:tcPr>
            <w:tcW w:type="dxa" w:w="1984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sz w:val="18"/>
                <w:rFonts w:ascii="맑은 고딕" w:hAnsi="맑은 고딕" w:eastAsia="맑은 고딕" w:cs="맑은 고딕"/>
              </w:rPr>
              <w:t>Books3</w:t>
            </w:r>
          </w:p>
        </w:tc>
        <w:tc>
          <w:tcPr>
            <w:tcW w:type="dxa" w:w="6236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여기서 스크래핑해 만들어진 도서 컬렉션</w:t>
            </w:r>
          </w:p>
        </w:tc>
      </w:tr>
      <w:tr>
        <w:tc>
          <w:tcPr>
            <w:tcW w:type="dxa" w:w="1417"/>
          </w:tcPr>
          <w:p>
            <w:pPr>
              <w:spacing w:before="40" w:after="40" w:line="288" w:lineRule="auto"/>
            </w:pPr>
            <w:r>
              <w:rPr>
                <w:b/>
                <w:sz w:val="18"/>
                <w:rFonts w:ascii="맑은 고딕" w:hAnsi="맑은 고딕" w:eastAsia="맑은 고딕" w:cs="맑은 고딕"/>
              </w:rPr>
              <w:t>재포장</w:t>
            </w:r>
          </w:p>
        </w:tc>
        <w:tc>
          <w:tcPr>
            <w:tcW w:type="dxa" w:w="1984"/>
          </w:tcPr>
          <w:p>
            <w:pPr>
              <w:spacing w:before="40" w:after="40" w:line="288" w:lineRule="auto"/>
            </w:pPr>
            <w:r>
              <w:rPr>
                <w:b/>
                <w:sz w:val="18"/>
                <w:rFonts w:ascii="맑은 고딕" w:hAnsi="맑은 고딕" w:eastAsia="맑은 고딕" w:cs="맑은 고딕"/>
              </w:rPr>
              <w:t>The Pile</w:t>
            </w:r>
          </w:p>
        </w:tc>
        <w:tc>
          <w:tcPr>
            <w:tcW w:type="dxa" w:w="6236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이를 포함한 오픈 데이터셋</w:t>
            </w:r>
          </w:p>
        </w:tc>
      </w:tr>
      <w:tr>
        <w:tc>
          <w:tcPr>
            <w:tcW w:type="dxa" w:w="1417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sz w:val="18"/>
                <w:rFonts w:ascii="맑은 고딕" w:hAnsi="맑은 고딕" w:eastAsia="맑은 고딕" w:cs="맑은 고딕"/>
              </w:rPr>
              <w:t>재라벨링</w:t>
            </w:r>
          </w:p>
        </w:tc>
        <w:tc>
          <w:tcPr>
            <w:tcW w:type="dxa" w:w="1984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sz w:val="18"/>
                <w:rFonts w:ascii="맑은 고딕" w:hAnsi="맑은 고딕" w:eastAsia="맑은 고딕" w:cs="맑은 고딕"/>
              </w:rPr>
              <w:t>RedPajama</w:t>
            </w:r>
          </w:p>
        </w:tc>
        <w:tc>
          <w:tcPr>
            <w:tcW w:type="dxa" w:w="6236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 xml:space="preserve">다운스트림 코퍼스, </w:t>
            </w:r>
            <w:r>
              <w:rPr>
                <w:b/>
                <w:sz w:val="18"/>
                <w:rFonts w:ascii="맑은 고딕" w:hAnsi="맑은 고딕" w:eastAsia="맑은 고딕" w:cs="맑은 고딕"/>
              </w:rPr>
              <w:t>Permissive 라이선스</w:t>
            </w:r>
          </w:p>
        </w:tc>
      </w:tr>
      <w:tr>
        <w:tc>
          <w:tcPr>
            <w:tcW w:type="dxa" w:w="1417"/>
          </w:tcPr>
          <w:p>
            <w:pPr>
              <w:spacing w:before="40" w:after="40" w:line="288" w:lineRule="auto"/>
            </w:pPr>
            <w:r>
              <w:rPr>
                <w:b/>
                <w:sz w:val="18"/>
                <w:rFonts w:ascii="맑은 고딕" w:hAnsi="맑은 고딕" w:eastAsia="맑은 고딕" w:cs="맑은 고딕"/>
              </w:rPr>
              <w:t>전부 상속</w:t>
            </w:r>
          </w:p>
        </w:tc>
        <w:tc>
          <w:tcPr>
            <w:tcW w:type="dxa" w:w="1984"/>
          </w:tcPr>
          <w:p>
            <w:pPr>
              <w:spacing w:before="40" w:after="40" w:line="288" w:lineRule="auto"/>
            </w:pPr>
            <w:r>
              <w:rPr>
                <w:b/>
                <w:sz w:val="18"/>
                <w:rFonts w:ascii="맑은 고딕" w:hAnsi="맑은 고딕" w:eastAsia="맑은 고딕" w:cs="맑은 고딕"/>
              </w:rPr>
              <w:t>어떤 모델</w:t>
            </w:r>
          </w:p>
        </w:tc>
        <w:tc>
          <w:tcPr>
            <w:tcW w:type="dxa" w:w="6236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「오픈」 데이터로 학습</w:t>
            </w:r>
          </w:p>
        </w:tc>
      </w:tr>
    </w:tbl>
    <w:p>
      <w:pPr>
        <w:spacing w:after="40"/>
      </w:pPr>
    </w:p>
    <w:p>
      <w:pPr>
        <w:pStyle w:val="ListBullet"/>
        <w:spacing w:after="60" w:line="312" w:lineRule="auto"/>
        <w:ind w:left="340"/>
      </w:pPr>
      <w:r>
        <w:rPr>
          <w:sz w:val="20"/>
          <w:rFonts w:ascii="맑은 고딕" w:hAnsi="맑은 고딕" w:eastAsia="맑은 고딕" w:cs="맑은 고딕"/>
        </w:rPr>
        <w:t>중복 제거와 필터링은 데이터를 더 깨끗하게 만들 뿐, 그 출처를 알려주지는 않는다.</w:t>
      </w:r>
    </w:p>
    <w:p>
      <w:pPr>
        <w:pStyle w:val="ListBullet"/>
        <w:spacing w:after="60" w:line="312" w:lineRule="auto"/>
        <w:ind w:left="340"/>
      </w:pPr>
      <w:r>
        <w:rPr>
          <w:sz w:val="20"/>
          <w:rFonts w:ascii="맑은 고딕" w:hAnsi="맑은 고딕" w:eastAsia="맑은 고딕" w:cs="맑은 고딕"/>
        </w:rPr>
        <w:t>모든 단계가 기술적으로는 정당했지만, 최종 모델에 이르렀을 때 진짜 출처는 네 단계 위 데이터셋에 묻혀 상위 라벨에서는 전혀 보이지 않는다.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left w:val="single" w:sz="24" w:space="0" w:color="B0302E"/>
              <w:top w:val="single" w:sz="4" w:space="0" w:color="FDF3E7"/>
              <w:bottom w:val="single" w:sz="4" w:space="0" w:color="FDF3E7"/>
              <w:right w:val="single" w:sz="4" w:space="0" w:color="FDF3E7"/>
            </w:tcBorders>
            <w:shd w:val="clear" w:color="auto" w:fill="FDF3E7"/>
          </w:tcPr>
          <w:p>
            <w:pPr>
              <w:spacing w:before="120" w:after="120"/>
              <w:ind w:left="142"/>
            </w:pPr>
            <w:r>
              <w:rPr>
                <w:b/>
                <w:i w:val="0"/>
                <w:sz w:val="20"/>
                <w:rFonts w:ascii="맑은 고딕" w:hAnsi="맑은 고딕" w:eastAsia="맑은 고딕" w:cs="맑은 고딕"/>
              </w:rPr>
              <w:t>결함은 최종 데이터셋에 있지 않습니다. 아무도 더 이상 들여다보지 않는 그 출발점에 있습니다.</w:t>
            </w:r>
          </w:p>
        </w:tc>
      </w:tr>
    </w:tbl>
    <w:p>
      <w:pPr>
        <w:spacing w:after="40"/>
      </w:pPr>
    </w:p>
    <w:p>
      <w:pPr>
        <w:spacing w:before="0" w:after="120"/>
      </w:pPr>
      <w:r>
        <w:rPr>
          <w:b w:val="0"/>
          <w:i w:val="0"/>
          <w:sz w:val="20"/>
          <w:rFonts w:ascii="맑은 고딕" w:hAnsi="맑은 고딕" w:eastAsia="맑은 고딕" w:cs="맑은 고딕"/>
        </w:rPr>
        <w:t>왜 이런 체인이 생기는가 — A 개발자가 미국에서 학습데이터를 배포하면, 지구 반대편 인도의 개발자가 그걸 받아 「이 데이터셋 좋네, 여기에 뉴욕타임스 에디션을 좀 포함시켜 재배포해볼까」 한다. 이런 식으로 데이터셋이 합쳐지고, 분할되고, 증류되고, 재배포되는 현상이 무한히 반복된다. 그리고 이것이 Anthropic이 거액을 배상하게 된 바로 그 데이터셋 계보다.</w:t>
      </w:r>
    </w:p>
    <w:p>
      <w:pPr>
        <w:pStyle w:val="Heading2"/>
      </w:pPr>
      <w:r>
        <w:t>5-3. 21%만 살아남았다</w:t>
      </w:r>
    </w:p>
    <w:p>
      <w:pPr>
        <w:spacing w:before="0" w:after="120"/>
      </w:pPr>
      <w:r>
        <w:rPr>
          <w:b w:val="0"/>
          <w:i w:val="0"/>
          <w:sz w:val="20"/>
          <w:rFonts w:ascii="맑은 고딕" w:hAnsi="맑은 고딕" w:eastAsia="맑은 고딕" w:cs="맑은 고딕"/>
        </w:rPr>
        <w:t>스스로 「상업적 이용 가능」이라 밝힌 2,852개 데이터셋을 모든 하위 소스까지 추적한 결과: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5102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기준</w:t>
            </w:r>
          </w:p>
        </w:tc>
        <w:tc>
          <w:tcPr>
            <w:tcW w:type="dxa" w:w="4535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결과</w:t>
            </w:r>
          </w:p>
        </w:tc>
      </w:tr>
      <w:tr>
        <w:tc>
          <w:tcPr>
            <w:tcW w:type="dxa" w:w="5102"/>
          </w:tcPr>
          <w:p>
            <w:pPr>
              <w:spacing w:before="40" w:after="40" w:line="288" w:lineRule="auto"/>
            </w:pPr>
            <w:r>
              <w:rPr>
                <w:b/>
                <w:sz w:val="18"/>
                <w:rFonts w:ascii="맑은 고딕" w:hAnsi="맑은 고딕" w:eastAsia="맑은 고딕" w:cs="맑은 고딕"/>
              </w:rPr>
              <w:t>라벨 기준 (최상단이 말한 그대로)</w:t>
            </w:r>
          </w:p>
        </w:tc>
        <w:tc>
          <w:tcPr>
            <w:tcW w:type="dxa" w:w="4535"/>
          </w:tcPr>
          <w:p>
            <w:pPr>
              <w:spacing w:before="40" w:after="40" w:line="288" w:lineRule="auto"/>
            </w:pPr>
            <w:r>
              <w:rPr>
                <w:b/>
                <w:sz w:val="18"/>
                <w:rFonts w:ascii="맑은 고딕" w:hAnsi="맑은 고딕" w:eastAsia="맑은 고딕" w:cs="맑은 고딕"/>
              </w:rPr>
              <w:t>2,852개</w:t>
            </w:r>
          </w:p>
        </w:tc>
      </w:tr>
      <w:tr>
        <w:tc>
          <w:tcPr>
            <w:tcW w:type="dxa" w:w="5102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sz w:val="18"/>
                <w:rFonts w:ascii="맑은 고딕" w:hAnsi="맑은 고딕" w:eastAsia="맑은 고딕" w:cs="맑은 고딕"/>
              </w:rPr>
              <w:t>추적 이후 (공급망을 실제로 따라간 결과)</w:t>
            </w:r>
          </w:p>
        </w:tc>
        <w:tc>
          <w:tcPr>
            <w:tcW w:type="dxa" w:w="4535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sz w:val="18"/>
                <w:rFonts w:ascii="맑은 고딕" w:hAnsi="맑은 고딕" w:eastAsia="맑은 고딕" w:cs="맑은 고딕"/>
              </w:rPr>
              <w:t>605개 (21.2%)</w:t>
            </w:r>
          </w:p>
        </w:tc>
      </w:tr>
    </w:tbl>
    <w:p>
      <w:pPr>
        <w:spacing w:after="40"/>
      </w:pPr>
    </w:p>
    <w:p>
      <w:pPr>
        <w:spacing w:before="0" w:after="120"/>
      </w:pPr>
      <w:r>
        <w:rPr>
          <w:b w:val="0"/>
          <w:i w:val="0"/>
          <w:color w:val="5A606A"/>
          <w:sz w:val="19"/>
          <w:rFonts w:ascii="맑은 고딕" w:hAnsi="맑은 고딕" w:eastAsia="맑은 고딕" w:cs="맑은 고딕"/>
        </w:rPr>
        <w:t>리스크 등급: A-1 &gt; A-2 &gt; A-3 (상업적 이용 가능) &gt; B-1 &gt; B-2 (연구 목적 한정) &gt; C-1 &gt; C-2 (이용 불가)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left w:val="single" w:sz="24" w:space="0" w:color="1F3B73"/>
              <w:top w:val="single" w:sz="4" w:space="0" w:color="F5F6F8"/>
              <w:bottom w:val="single" w:sz="4" w:space="0" w:color="F5F6F8"/>
              <w:right w:val="single" w:sz="4" w:space="0" w:color="F5F6F8"/>
            </w:tcBorders>
            <w:shd w:val="clear" w:color="auto" w:fill="F5F6F8"/>
          </w:tcPr>
          <w:p>
            <w:pPr>
              <w:spacing w:before="120" w:after="120"/>
              <w:ind w:left="142"/>
            </w:pPr>
            <w:r>
              <w:rPr>
                <w:b/>
                <w:i w:val="0"/>
                <w:sz w:val="20"/>
                <w:rFonts w:ascii="맑은 고딕" w:hAnsi="맑은 고딕" w:eastAsia="맑은 고딕" w:cs="맑은 고딕"/>
              </w:rPr>
              <w:t>이 숫자는 누구도 탓하지 않습니다. 우리가 얼마나 몰랐는지를 보여 줍니다. 우리가 「오픈」이라 부르는 것의 78.8%는 단 한 번도 그 사슬이 추적된 적이 없습니다. 배포자도, 사용자도 하지 않았습니다. 그것을 해낼 도구를 만들기 전까지는 우리도 하지 않았습니다.</w:t>
            </w:r>
          </w:p>
        </w:tc>
      </w:tr>
    </w:tbl>
    <w:p>
      <w:pPr>
        <w:spacing w:after="40"/>
      </w:pPr>
    </w:p>
    <w:p>
      <w:pPr>
        <w:spacing w:before="120" w:after="40"/>
      </w:pPr>
      <w:r>
        <w:rPr>
          <w:b/>
          <w:i w:val="0"/>
          <w:color w:val="1F3B73"/>
          <w:sz w:val="20"/>
          <w:rFonts w:ascii="맑은 고딕" w:hAnsi="맑은 고딕" w:eastAsia="맑은 고딕" w:cs="맑은 고딕"/>
        </w:rPr>
        <w:t xml:space="preserve">FineVision 추적 사례 — </w:t>
      </w:r>
    </w:p>
    <w:p>
      <w:pPr>
        <w:spacing w:before="0" w:after="120"/>
      </w:pPr>
      <w:r>
        <w:rPr>
          <w:b w:val="0"/>
          <w:i w:val="0"/>
          <w:sz w:val="20"/>
          <w:rFonts w:ascii="맑은 고딕" w:hAnsi="맑은 고딕" w:eastAsia="맑은 고딕" w:cs="맑은 고딕"/>
        </w:rPr>
        <w:t>개발자들은 「이 데이터셋은 Apache / MIT / CC-BY 4.0으로 배포되어 있으니 써도 문제없겠죠?」라고 법무팀에 묻는다. 그래서 FineVision이라는 단일 데이터셋 하나를 에이전트로 끝까지 추적해봤다.</w:t>
      </w:r>
    </w:p>
    <w:p>
      <w:pPr>
        <w:pStyle w:val="ListBullet"/>
        <w:spacing w:after="60" w:line="312" w:lineRule="auto"/>
        <w:ind w:left="340"/>
      </w:pPr>
      <w:r>
        <w:rPr>
          <w:sz w:val="20"/>
          <w:rFonts w:ascii="맑은 고딕" w:hAnsi="맑은 고딕" w:eastAsia="맑은 고딕" w:cs="맑은 고딕"/>
        </w:rPr>
        <w:t>그 아래에 약 **3,000개**의 서로 다른 라이선스 텀이 존재</w:t>
      </w:r>
    </w:p>
    <w:p>
      <w:pPr>
        <w:pStyle w:val="ListBullet"/>
        <w:spacing w:after="60" w:line="312" w:lineRule="auto"/>
        <w:ind w:left="340"/>
      </w:pPr>
      <w:r>
        <w:rPr>
          <w:sz w:val="20"/>
          <w:rFonts w:ascii="맑은 고딕" w:hAnsi="맑은 고딕" w:eastAsia="맑은 고딕" w:cs="맑은 고딕"/>
        </w:rPr>
        <w:t>그중에는 **「이 데이터를 절대 AI 학습에 사용하지 마세요」**, 「non-commercial 용도로만 사용 가능」 같은 조건이 다수</w:t>
      </w:r>
    </w:p>
    <w:p>
      <w:pPr>
        <w:pStyle w:val="ListBullet"/>
        <w:spacing w:after="60" w:line="312" w:lineRule="auto"/>
        <w:ind w:left="340"/>
      </w:pPr>
      <w:r>
        <w:rPr>
          <w:sz w:val="20"/>
          <w:rFonts w:ascii="맑은 고딕" w:hAnsi="맑은 고딕" w:eastAsia="맑은 고딕" w:cs="맑은 고딕"/>
        </w:rPr>
        <w:t>이미 소송에 걸려 있거나 판결을 앞둔 **위험 데이터셋**도 포함</w:t>
      </w:r>
    </w:p>
    <w:p>
      <w:pPr>
        <w:spacing w:before="120" w:after="40"/>
      </w:pPr>
      <w:r>
        <w:rPr>
          <w:b/>
          <w:i w:val="0"/>
          <w:color w:val="1F3B73"/>
          <w:sz w:val="20"/>
          <w:rFonts w:ascii="맑은 고딕" w:hAnsi="맑은 고딕" w:eastAsia="맑은 고딕" w:cs="맑은 고딕"/>
        </w:rPr>
        <w:t>개발자들은 출처를 알고 쓰는가? — 아니다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left w:val="single" w:sz="24" w:space="0" w:color="1F3B73"/>
              <w:top w:val="single" w:sz="4" w:space="0" w:color="F5F6F8"/>
              <w:bottom w:val="single" w:sz="4" w:space="0" w:color="F5F6F8"/>
              <w:right w:val="single" w:sz="4" w:space="0" w:color="F5F6F8"/>
            </w:tcBorders>
            <w:shd w:val="clear" w:color="auto" w:fill="F5F6F8"/>
          </w:tcPr>
          <w:p>
            <w:pPr>
              <w:spacing w:before="120" w:after="120"/>
              <w:ind w:left="142"/>
            </w:pPr>
            <w:r>
              <w:rPr>
                <w:b/>
                <w:i w:val="0"/>
                <w:sz w:val="20"/>
                <w:rFonts w:ascii="맑은 고딕" w:hAnsi="맑은 고딕" w:eastAsia="맑은 고딕" w:cs="맑은 고딕"/>
              </w:rPr>
              <w:t>이게 SNS의 「좋아요」와 같습니다.</w:t>
            </w:r>
          </w:p>
        </w:tc>
      </w:tr>
    </w:tbl>
    <w:p>
      <w:pPr>
        <w:spacing w:after="40"/>
      </w:pPr>
    </w:p>
    <w:p>
      <w:pPr>
        <w:spacing w:before="0" w:after="120"/>
      </w:pPr>
      <w:r>
        <w:rPr>
          <w:b w:val="0"/>
          <w:i w:val="0"/>
          <w:sz w:val="20"/>
          <w:rFonts w:ascii="맑은 고딕" w:hAnsi="맑은 고딕" w:eastAsia="맑은 고딕" w:cs="맑은 고딕"/>
        </w:rPr>
        <w:t>허깅페이스의 Most Downloaded / Most Liked 목록이 그 역할을 한다. 「이 데이터를 썼더니 성능이 많이 올라간다」는 좋아요가 쌓인 데이터셋이 널리 쓰이고, 출처는 추적되지 않는다. 그래서 위험한 데이터셋인지 — 심지어 악용 데이터가 섞여 있는지 — 전혀 모르는 상태로, 벤치마크 성능에 도움 되는 데이터셋 위주로 사용·배포되고 있다.</w:t>
      </w:r>
    </w:p>
    <w:p>
      <w:pPr>
        <w:pStyle w:val="Heading2"/>
      </w:pPr>
      <w:r>
        <w:t>5-4. 노력의 문제가 아니라 규모의 문제</w:t>
      </w:r>
    </w:p>
    <w:p>
      <w:pPr>
        <w:spacing w:before="0" w:after="120"/>
      </w:pPr>
      <w:r>
        <w:rPr>
          <w:b w:val="0"/>
          <w:i w:val="0"/>
          <w:sz w:val="20"/>
          <w:rFonts w:ascii="맑은 고딕" w:hAnsi="맑은 고딕" w:eastAsia="맑은 고딕" w:cs="맑은 고딕"/>
        </w:rPr>
        <w:t>데이터셋 하나를 정직하게 검토하려면:</w:t>
      </w:r>
    </w:p>
    <w:p>
      <w:pPr>
        <w:spacing w:after="60" w:line="312" w:lineRule="auto"/>
        <w:ind w:left="340" w:hanging="340"/>
      </w:pPr>
      <w:r>
        <w:rPr>
          <w:b/>
          <w:sz w:val="20"/>
          <w:rFonts w:ascii="맑은 고딕" w:hAnsi="맑은 고딕" w:eastAsia="맑은 고딕" w:cs="맑은 고딕"/>
        </w:rPr>
        <w:t xml:space="preserve">1. </w:t>
      </w:r>
      <w:r>
        <w:rPr>
          <w:sz w:val="20"/>
          <w:rFonts w:ascii="맑은 고딕" w:hAnsi="맑은 고딕" w:eastAsia="맑은 고딕" w:cs="맑은 고딕"/>
        </w:rPr>
        <w:t>검토 대상 데이터셋 확인</w:t>
      </w:r>
    </w:p>
    <w:p>
      <w:pPr>
        <w:spacing w:after="60" w:line="312" w:lineRule="auto"/>
        <w:ind w:left="340" w:hanging="340"/>
      </w:pPr>
      <w:r>
        <w:rPr>
          <w:b/>
          <w:sz w:val="20"/>
          <w:rFonts w:ascii="맑은 고딕" w:hAnsi="맑은 고딕" w:eastAsia="맑은 고딕" w:cs="맑은 고딕"/>
        </w:rPr>
        <w:t xml:space="preserve">2. </w:t>
      </w:r>
      <w:r>
        <w:rPr>
          <w:sz w:val="20"/>
          <w:rFonts w:ascii="맑은 고딕" w:hAnsi="맑은 고딕" w:eastAsia="맑은 고딕" w:cs="맑은 고딕"/>
        </w:rPr>
        <w:t>루트 데이터셋의 라이선스 조건 분석</w:t>
      </w:r>
    </w:p>
    <w:p>
      <w:pPr>
        <w:spacing w:after="60" w:line="312" w:lineRule="auto"/>
        <w:ind w:left="340" w:hanging="340"/>
      </w:pPr>
      <w:r>
        <w:rPr>
          <w:b/>
          <w:sz w:val="20"/>
          <w:rFonts w:ascii="맑은 고딕" w:hAnsi="맑은 고딕" w:eastAsia="맑은 고딕" w:cs="맑은 고딕"/>
        </w:rPr>
        <w:t xml:space="preserve">3. </w:t>
      </w:r>
      <w:r>
        <w:rPr>
          <w:sz w:val="20"/>
          <w:rFonts w:ascii="맑은 고딕" w:hAnsi="맑은 고딕" w:eastAsia="맑은 고딕" w:cs="맑은 고딕"/>
        </w:rPr>
        <w:t>루트 데이터셋 내 모든 하위 소스 발견 (메타데이터 파싱 → 중첩 하위 소스 추출)</w:t>
      </w:r>
    </w:p>
    <w:p>
      <w:pPr>
        <w:spacing w:after="60" w:line="312" w:lineRule="auto"/>
        <w:ind w:left="340" w:hanging="340"/>
      </w:pPr>
      <w:r>
        <w:rPr>
          <w:b/>
          <w:sz w:val="20"/>
          <w:rFonts w:ascii="맑은 고딕" w:hAnsi="맑은 고딕" w:eastAsia="맑은 고딕" w:cs="맑은 고딕"/>
        </w:rPr>
        <w:t xml:space="preserve">4. </w:t>
      </w:r>
      <w:r>
        <w:rPr>
          <w:sz w:val="20"/>
          <w:rFonts w:ascii="맑은 고딕" w:hAnsi="맑은 고딕" w:eastAsia="맑은 고딕" w:cs="맑은 고딕"/>
        </w:rPr>
        <w:t>개별 하위 소스별 조건 분석</w:t>
      </w:r>
    </w:p>
    <w:p>
      <w:pPr>
        <w:spacing w:after="60" w:line="312" w:lineRule="auto"/>
        <w:ind w:left="340" w:hanging="340"/>
      </w:pPr>
      <w:r>
        <w:rPr>
          <w:b/>
          <w:sz w:val="20"/>
          <w:rFonts w:ascii="맑은 고딕" w:hAnsi="맑은 고딕" w:eastAsia="맑은 고딕" w:cs="맑은 고딕"/>
        </w:rPr>
        <w:t xml:space="preserve">5. </w:t>
      </w:r>
      <w:r>
        <w:rPr>
          <w:sz w:val="20"/>
          <w:rFonts w:ascii="맑은 고딕" w:hAnsi="맑은 고딕" w:eastAsia="맑은 고딕" w:cs="맑은 고딕"/>
        </w:rPr>
        <w:t>하위의 하위 소스까지 재귀적으로 추적</w:t>
      </w:r>
    </w:p>
    <w:p>
      <w:pPr>
        <w:spacing w:after="60" w:line="312" w:lineRule="auto"/>
        <w:ind w:left="340" w:hanging="340"/>
      </w:pPr>
      <w:r>
        <w:rPr>
          <w:b/>
          <w:sz w:val="20"/>
          <w:rFonts w:ascii="맑은 고딕" w:hAnsi="맑은 고딕" w:eastAsia="맑은 고딕" w:cs="맑은 고딕"/>
        </w:rPr>
        <w:t xml:space="preserve">6. </w:t>
      </w:r>
      <w:r>
        <w:rPr>
          <w:sz w:val="20"/>
          <w:rFonts w:ascii="맑은 고딕" w:hAnsi="맑은 고딕" w:eastAsia="맑은 고딕" w:cs="맑은 고딕"/>
        </w:rPr>
        <w:t>최하위 소스의 조건까지 평가 → 라이선스를 종합해 총체적 리스크 평가 → AI 데이터 리스크 등급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left w:val="single" w:sz="24" w:space="0" w:color="1F3B73"/>
              <w:top w:val="single" w:sz="4" w:space="0" w:color="F5F6F8"/>
              <w:bottom w:val="single" w:sz="4" w:space="0" w:color="F5F6F8"/>
              <w:right w:val="single" w:sz="4" w:space="0" w:color="F5F6F8"/>
            </w:tcBorders>
            <w:shd w:val="clear" w:color="auto" w:fill="F5F6F8"/>
          </w:tcPr>
          <w:p>
            <w:pPr>
              <w:spacing w:before="120" w:after="120"/>
              <w:ind w:left="142"/>
            </w:pPr>
            <w:r>
              <w:rPr>
                <w:b/>
                <w:i w:val="0"/>
                <w:sz w:val="20"/>
                <w:rFonts w:ascii="맑은 고딕" w:hAnsi="맑은 고딕" w:eastAsia="맑은 고딕" w:cs="맑은 고딕"/>
              </w:rPr>
              <w:t>사람의 속도로는 끝에 닿을 수 없습니다. 게을러서가 아니라, 숫자가 허락하지 않기 때문입니다.</w:t>
            </w:r>
          </w:p>
        </w:tc>
      </w:tr>
    </w:tbl>
    <w:p>
      <w:pPr>
        <w:spacing w:after="40"/>
      </w:pPr>
    </w:p>
    <w:p>
      <w:pPr>
        <w:spacing w:before="0" w:after="120"/>
      </w:pPr>
      <w:r>
        <w:rPr>
          <w:b w:val="0"/>
          <w:i w:val="0"/>
          <w:sz w:val="20"/>
          <w:rFonts w:ascii="맑은 고딕" w:hAnsi="맑은 고딕" w:eastAsia="맑은 고딕" w:cs="맑은 고딕"/>
        </w:rPr>
        <w:t>규모의 실체 — 데이터셋 하나 안에 서로 다른 라이선스 노드가 많은 경우 1만 8천 개까지 병존한다. 이걸 전부 수집하고 노드별로 평가해야만 최종 AI 데이터 리스크 등급을 낼 수 있다.</w:t>
      </w:r>
    </w:p>
    <w:p>
      <w:pPr>
        <w:pStyle w:val="Heading2"/>
      </w:pPr>
      <w:r>
        <w:t>5-5. 그래서 에이전트로 풀었다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1417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단계</w:t>
            </w:r>
          </w:p>
        </w:tc>
        <w:tc>
          <w:tcPr>
            <w:tcW w:type="dxa" w:w="8220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하는 일</w:t>
            </w:r>
          </w:p>
        </w:tc>
      </w:tr>
      <w:tr>
        <w:tc>
          <w:tcPr>
            <w:tcW w:type="dxa" w:w="1417"/>
          </w:tcPr>
          <w:p>
            <w:pPr>
              <w:spacing w:before="40" w:after="40" w:line="288" w:lineRule="auto"/>
            </w:pPr>
            <w:r>
              <w:rPr>
                <w:b/>
                <w:sz w:val="18"/>
                <w:rFonts w:ascii="맑은 고딕" w:hAnsi="맑은 고딕" w:eastAsia="맑은 고딕" w:cs="맑은 고딕"/>
              </w:rPr>
              <w:t>1. 읽기</w:t>
            </w:r>
          </w:p>
        </w:tc>
        <w:tc>
          <w:tcPr>
            <w:tcW w:type="dxa" w:w="8220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데이터셋 카드를 연다. 선언된 모든 소스를 추출한다</w:t>
            </w:r>
          </w:p>
        </w:tc>
      </w:tr>
      <w:tr>
        <w:tc>
          <w:tcPr>
            <w:tcW w:type="dxa" w:w="1417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sz w:val="18"/>
                <w:rFonts w:ascii="맑은 고딕" w:hAnsi="맑은 고딕" w:eastAsia="맑은 고딕" w:cs="맑은 고딕"/>
              </w:rPr>
              <w:t>2. 추적</w:t>
            </w:r>
          </w:p>
        </w:tc>
        <w:tc>
          <w:tcPr>
            <w:tcW w:type="dxa" w:w="8220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 xml:space="preserve">각 소스를 따라간다. </w:t>
            </w:r>
            <w:r>
              <w:rPr>
                <w:b/>
                <w:sz w:val="18"/>
                <w:rFonts w:ascii="맑은 고딕" w:hAnsi="맑은 고딕" w:eastAsia="맑은 고딕" w:cs="맑은 고딕"/>
              </w:rPr>
              <w:t>아래에 아무것도 남지 않을 때까지 재귀</w:t>
            </w:r>
            <w:r>
              <w:rPr>
                <w:b w:val="0"/>
                <w:sz w:val="18"/>
                <w:rFonts w:ascii="맑은 고딕" w:hAnsi="맑은 고딕" w:eastAsia="맑은 고딕" w:cs="맑은 고딕"/>
              </w:rPr>
              <w:t>한다. 개발자가 논문·개인 블로그·허깅페이스 페이지에 남긴 단서까지 웹을 돌아다니며 뒤진다</w:t>
            </w:r>
          </w:p>
        </w:tc>
      </w:tr>
      <w:tr>
        <w:tc>
          <w:tcPr>
            <w:tcW w:type="dxa" w:w="1417"/>
          </w:tcPr>
          <w:p>
            <w:pPr>
              <w:spacing w:before="40" w:after="40" w:line="288" w:lineRule="auto"/>
            </w:pPr>
            <w:r>
              <w:rPr>
                <w:b/>
                <w:sz w:val="18"/>
                <w:rFonts w:ascii="맑은 고딕" w:hAnsi="맑은 고딕" w:eastAsia="맑은 고딕" w:cs="맑은 고딕"/>
              </w:rPr>
              <w:t>3. 평가</w:t>
            </w:r>
          </w:p>
        </w:tc>
        <w:tc>
          <w:tcPr>
            <w:tcW w:type="dxa" w:w="8220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 xml:space="preserve">맨 위가 아니라 </w:t>
            </w:r>
            <w:r>
              <w:rPr>
                <w:b/>
                <w:sz w:val="18"/>
                <w:rFonts w:ascii="맑은 고딕" w:hAnsi="맑은 고딕" w:eastAsia="맑은 고딕" w:cs="맑은 고딕"/>
              </w:rPr>
              <w:t>공급망 전체를 평가</w:t>
            </w:r>
            <w:r>
              <w:rPr>
                <w:b w:val="0"/>
                <w:sz w:val="18"/>
                <w:rFonts w:ascii="맑은 고딕" w:hAnsi="맑은 고딕" w:eastAsia="맑은 고딕" w:cs="맑은 고딕"/>
              </w:rPr>
              <w:t>한다. 각 소스 노드의 라이선스 텀을 수집해 「사용 가능」인지 「AI 학습 금지 조항이 있는지」를 판단한다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2268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측정</w:t>
            </w:r>
          </w:p>
        </w:tc>
        <w:tc>
          <w:tcPr>
            <w:tcW w:type="dxa" w:w="7370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결과</w:t>
            </w:r>
          </w:p>
        </w:tc>
      </w:tr>
      <w:tr>
        <w:tc>
          <w:tcPr>
            <w:tcW w:type="dxa" w:w="2268"/>
          </w:tcPr>
          <w:p>
            <w:pPr>
              <w:spacing w:before="40" w:after="40" w:line="288" w:lineRule="auto"/>
            </w:pPr>
            <w:r>
              <w:rPr>
                <w:b/>
                <w:sz w:val="18"/>
                <w:rFonts w:ascii="맑은 고딕" w:hAnsi="맑은 고딕" w:eastAsia="맑은 고딕" w:cs="맑은 고딕"/>
              </w:rPr>
              <w:t>수작업 대비</w:t>
            </w:r>
          </w:p>
        </w:tc>
        <w:tc>
          <w:tcPr>
            <w:tcW w:type="dxa" w:w="7370"/>
          </w:tcPr>
          <w:p>
            <w:pPr>
              <w:spacing w:before="40" w:after="40" w:line="288" w:lineRule="auto"/>
            </w:pPr>
            <w:r>
              <w:rPr>
                <w:b/>
                <w:sz w:val="18"/>
                <w:rFonts w:ascii="맑은 고딕" w:hAnsi="맑은 고딕" w:eastAsia="맑은 고딕" w:cs="맑은 고딕"/>
              </w:rPr>
              <w:t>45배 더 빠르게</w:t>
            </w:r>
          </w:p>
        </w:tc>
      </w:tr>
      <w:tr>
        <w:tc>
          <w:tcPr>
            <w:tcW w:type="dxa" w:w="2268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sz w:val="18"/>
                <w:rFonts w:ascii="맑은 고딕" w:hAnsi="맑은 고딕" w:eastAsia="맑은 고딕" w:cs="맑은 고딕"/>
              </w:rPr>
              <w:t>전문가 대비</w:t>
            </w:r>
          </w:p>
        </w:tc>
        <w:tc>
          <w:tcPr>
            <w:tcW w:type="dxa" w:w="7370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sz w:val="18"/>
                <w:rFonts w:ascii="맑은 고딕" w:hAnsi="맑은 고딕" w:eastAsia="맑은 고딕" w:cs="맑은 고딕"/>
              </w:rPr>
              <w:t>26% 더 정확하게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left w:val="single" w:sz="24" w:space="0" w:color="1F3B73"/>
              <w:top w:val="single" w:sz="4" w:space="0" w:color="F5F6F8"/>
              <w:bottom w:val="single" w:sz="4" w:space="0" w:color="F5F6F8"/>
              <w:right w:val="single" w:sz="4" w:space="0" w:color="F5F6F8"/>
            </w:tcBorders>
            <w:shd w:val="clear" w:color="auto" w:fill="F5F6F8"/>
          </w:tcPr>
          <w:p>
            <w:pPr>
              <w:spacing w:before="120" w:after="120"/>
              <w:ind w:left="142"/>
            </w:pPr>
            <w:r>
              <w:rPr>
                <w:b/>
                <w:i w:val="0"/>
                <w:sz w:val="22"/>
                <w:rFonts w:ascii="맑은 고딕" w:hAnsi="맑은 고딕" w:eastAsia="맑은 고딕" w:cs="맑은 고딕"/>
              </w:rPr>
              <w:t>우리는 판단을 자동화한 것이 아닙니다. 추적하는 일을 자동화했을 뿐이고, 그것은 애초에 판단이 아니었습니다.</w:t>
            </w:r>
          </w:p>
        </w:tc>
      </w:tr>
    </w:tbl>
    <w:p>
      <w:pPr>
        <w:spacing w:after="40"/>
      </w:pPr>
    </w:p>
    <w:p>
      <w:pPr>
        <w:spacing w:before="0" w:after="120"/>
      </w:pPr>
      <w:r>
        <w:rPr>
          <w:b w:val="0"/>
          <w:i w:val="0"/>
          <w:sz w:val="20"/>
          <w:rFonts w:ascii="맑은 고딕" w:hAnsi="맑은 고딕" w:eastAsia="맑은 고딕" w:cs="맑은 고딕"/>
        </w:rPr>
        <w:t>이 체계는 LG AI연구원 내부를 넘어 LG DX 그룹에도 배포되었고, 국내 로펌들과 협업해 복잡하게 트리화된 학습데이터의 평가 기준을 만들고 있다.</w:t>
      </w:r>
    </w:p>
    <w:p>
      <w:pPr>
        <w:pStyle w:val="Heading2"/>
      </w:pPr>
      <w:r>
        <w:t>5-6. 추적의 끝에서 드러나는 것 — UltraFeedback 사례</w:t>
      </w:r>
    </w:p>
    <w:p>
      <w:pPr>
        <w:spacing w:before="0" w:after="120"/>
      </w:pPr>
      <w:r>
        <w:rPr>
          <w:b w:val="0"/>
          <w:i w:val="0"/>
          <w:sz w:val="20"/>
          <w:rFonts w:ascii="맑은 고딕" w:hAnsi="맑은 고딕" w:eastAsia="맑은 고딕" w:cs="맑은 고딕"/>
        </w:rPr>
        <w:t>INPUT: openbmb/UltraFeedback (Dataset, Text, License: MIT). 14개 기준(데이터 라이선스의 존재, 산출물에 대한 권리, 알려진 분쟁 등)으로 스코어링.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3402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평가</w:t>
            </w:r>
          </w:p>
        </w:tc>
        <w:tc>
          <w:tcPr>
            <w:tcW w:type="dxa" w:w="6236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결과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88" w:lineRule="auto"/>
            </w:pPr>
            <w:r>
              <w:rPr>
                <w:b/>
                <w:sz w:val="18"/>
                <w:rFonts w:ascii="맑은 고딕" w:hAnsi="맑은 고딕" w:eastAsia="맑은 고딕" w:cs="맑은 고딕"/>
              </w:rPr>
              <w:t>Individual Assessment (A-3)</w:t>
            </w:r>
          </w:p>
        </w:tc>
        <w:tc>
          <w:tcPr>
            <w:tcW w:type="dxa" w:w="6236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 xml:space="preserve">상업적 이용 가능 (Low Risk) — </w:t>
            </w:r>
            <w:r>
              <w:rPr>
                <w:b/>
                <w:sz w:val="18"/>
                <w:rFonts w:ascii="맑은 고딕" w:hAnsi="맑은 고딕" w:eastAsia="맑은 고딕" w:cs="맑은 고딕"/>
              </w:rPr>
              <w:t>최상단 노드만 보면 MIT 오픈소스</w:t>
            </w:r>
          </w:p>
        </w:tc>
      </w:tr>
      <w:tr>
        <w:tc>
          <w:tcPr>
            <w:tcW w:type="dxa" w:w="3402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sz w:val="18"/>
                <w:rFonts w:ascii="맑은 고딕" w:hAnsi="맑은 고딕" w:eastAsia="맑은 고딕" w:cs="맑은 고딕"/>
              </w:rPr>
              <w:t>Aggregate Assessment (C-2)</w:t>
            </w:r>
          </w:p>
        </w:tc>
        <w:tc>
          <w:tcPr>
            <w:tcW w:type="dxa" w:w="6236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sz w:val="18"/>
                <w:rFonts w:ascii="맑은 고딕" w:hAnsi="맑은 고딕" w:eastAsia="맑은 고딕" w:cs="맑은 고딕"/>
              </w:rPr>
              <w:t>Common Crawl과 GPT-4를 사용했기 때문에 상업적·내부 이용 모두 불가 (High Risk)</w:t>
            </w:r>
          </w:p>
        </w:tc>
      </w:tr>
    </w:tbl>
    <w:p>
      <w:pPr>
        <w:spacing w:after="40"/>
      </w:pPr>
    </w:p>
    <w:p>
      <w:pPr>
        <w:spacing w:before="0" w:after="120"/>
      </w:pPr>
      <w:r>
        <w:rPr>
          <w:b w:val="0"/>
          <w:i w:val="0"/>
          <w:sz w:val="19"/>
          <w:rFonts w:ascii="맑은 고딕" w:hAnsi="맑은 고딕" w:eastAsia="맑은 고딕" w:cs="맑은 고딕"/>
        </w:rPr>
        <w:t>의존 체인: UltraFeedback ← GPT-4 / UltraChat / ShareGPT / Evol-Instruct ← ChatGPT Turbo API / C4 Dataset / dolly-15k / Falcon 40B ← Common Crawl / Wikipedia / Databricks employees…</w:t>
      </w:r>
    </w:p>
    <w:p>
      <w:pPr>
        <w:spacing w:before="0" w:after="120"/>
      </w:pPr>
      <w:r>
        <w:rPr>
          <w:b w:val="0"/>
          <w:i w:val="0"/>
          <w:color w:val="5A606A"/>
          <w:sz w:val="19"/>
          <w:rFonts w:ascii="맑은 고딕" w:hAnsi="맑은 고딕" w:eastAsia="맑은 고딕" w:cs="맑은 고딕"/>
        </w:rPr>
        <w:t>※ 의존 대상의 등급이 파생물보다 낮은 역전(inversion)이 발생하는 지점에서 오류가 드러난다. 등급 체계는 A = 안전(상업적 이용 가능) ↔ C = 위험(이용 불가).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left w:val="single" w:sz="24" w:space="0" w:color="1F3B73"/>
              <w:top w:val="single" w:sz="4" w:space="0" w:color="F5F6F8"/>
              <w:bottom w:val="single" w:sz="4" w:space="0" w:color="F5F6F8"/>
              <w:right w:val="single" w:sz="4" w:space="0" w:color="F5F6F8"/>
            </w:tcBorders>
            <w:shd w:val="clear" w:color="auto" w:fill="F5F6F8"/>
          </w:tcPr>
          <w:p>
            <w:pPr>
              <w:spacing w:before="120" w:after="120"/>
              <w:ind w:left="142"/>
            </w:pPr>
            <w:r>
              <w:rPr>
                <w:b/>
                <w:i w:val="0"/>
                <w:sz w:val="20"/>
                <w:rFonts w:ascii="맑은 고딕" w:hAnsi="맑은 고딕" w:eastAsia="맑은 고딕" w:cs="맑은 고딕"/>
              </w:rPr>
              <w:t>법적 리스크는 데이터 라이프사이클 추적을 통해서만 탐지 가능합니다.</w:t>
            </w:r>
          </w:p>
        </w:tc>
      </w:tr>
    </w:tbl>
    <w:p>
      <w:pPr>
        <w:spacing w:after="40"/>
      </w:pPr>
    </w:p>
    <w:p>
      <w:pPr>
        <w:pStyle w:val="Heading2"/>
      </w:pPr>
      <w:r>
        <w:t>5-7. K-AI BOM은 공급망 전체를 따라 이동한다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1701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주체</w:t>
            </w:r>
          </w:p>
        </w:tc>
        <w:tc>
          <w:tcPr>
            <w:tcW w:type="dxa" w:w="7937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역할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88" w:lineRule="auto"/>
            </w:pPr>
            <w:r>
              <w:rPr>
                <w:b/>
                <w:sz w:val="18"/>
                <w:rFonts w:ascii="맑은 고딕" w:hAnsi="맑은 고딕" w:eastAsia="맑은 고딕" w:cs="맑은 고딕"/>
              </w:rPr>
              <w:t>데이터셋</w:t>
            </w:r>
          </w:p>
        </w:tc>
        <w:tc>
          <w:tcPr>
            <w:tcW w:type="dxa" w:w="7937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자신의 출처와 계보를 선언한다</w:t>
            </w:r>
          </w:p>
        </w:tc>
      </w:tr>
      <w:tr>
        <w:tc>
          <w:tcPr>
            <w:tcW w:type="dxa" w:w="1701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sz w:val="18"/>
                <w:rFonts w:ascii="맑은 고딕" w:hAnsi="맑은 고딕" w:eastAsia="맑은 고딕" w:cs="맑은 고딕"/>
              </w:rPr>
              <w:t>AI 모델</w:t>
            </w:r>
          </w:p>
        </w:tc>
        <w:tc>
          <w:tcPr>
            <w:tcW w:type="dxa" w:w="7937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이를 상속하고 자신의 기록을 더한다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88" w:lineRule="auto"/>
            </w:pPr>
            <w:r>
              <w:rPr>
                <w:b/>
                <w:sz w:val="18"/>
                <w:rFonts w:ascii="맑은 고딕" w:hAnsi="맑은 고딕" w:eastAsia="맑은 고딕" w:cs="맑은 고딕"/>
              </w:rPr>
              <w:t>서비스</w:t>
            </w:r>
          </w:p>
        </w:tc>
        <w:tc>
          <w:tcPr>
            <w:tcW w:type="dxa" w:w="7937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모델과 그 기록을 함께 제공한다</w:t>
            </w:r>
          </w:p>
        </w:tc>
      </w:tr>
      <w:tr>
        <w:tc>
          <w:tcPr>
            <w:tcW w:type="dxa" w:w="1701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sz w:val="18"/>
                <w:rFonts w:ascii="맑은 고딕" w:hAnsi="맑은 고딕" w:eastAsia="맑은 고딕" w:cs="맑은 고딕"/>
              </w:rPr>
              <w:t>사용자</w:t>
            </w:r>
          </w:p>
        </w:tc>
        <w:tc>
          <w:tcPr>
            <w:tcW w:type="dxa" w:w="7937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무엇을 실행하고 있는지 검증할 수 있다</w:t>
            </w:r>
          </w:p>
        </w:tc>
      </w:tr>
    </w:tbl>
    <w:p>
      <w:pPr>
        <w:spacing w:after="40"/>
      </w:pPr>
    </w:p>
    <w:p>
      <w:pPr>
        <w:pStyle w:val="ListBullet"/>
        <w:spacing w:after="60" w:line="312" w:lineRule="auto"/>
        <w:ind w:left="340"/>
      </w:pPr>
      <w:r>
        <w:rPr>
          <w:b/>
          <w:sz w:val="20"/>
          <w:rFonts w:ascii="맑은 고딕" w:hAnsi="맑은 고딕" w:eastAsia="맑은 고딕" w:cs="맑은 고딕"/>
        </w:rPr>
        <w:t xml:space="preserve">이해관계는 달라도, 근거는 하나 — </w:t>
      </w:r>
      <w:r>
        <w:rPr>
          <w:sz w:val="20"/>
          <w:rFonts w:ascii="맑은 고딕" w:hAnsi="맑은 고딕" w:eastAsia="맑은 고딕" w:cs="맑은 고딕"/>
        </w:rPr>
        <w:t>네 주체가 원하는 바는 서로 다르지만, 이제는 같은 기록 위에서 각자 스스로 판단하고 결정할 수 있다.</w:t>
      </w:r>
    </w:p>
    <w:p>
      <w:pPr>
        <w:pStyle w:val="ListBullet"/>
        <w:spacing w:after="60" w:line="312" w:lineRule="auto"/>
        <w:ind w:left="340"/>
      </w:pPr>
      <w:r>
        <w:rPr>
          <w:b/>
          <w:sz w:val="20"/>
          <w:rFonts w:ascii="맑은 고딕" w:hAnsi="맑은 고딕" w:eastAsia="맑은 고딕" w:cs="맑은 고딕"/>
        </w:rPr>
        <w:t xml:space="preserve">하나의 기록, 여러 개의 결정 — </w:t>
      </w:r>
      <w:r>
        <w:rPr>
          <w:sz w:val="20"/>
          <w:rFonts w:ascii="맑은 고딕" w:hAnsi="맑은 고딕" w:eastAsia="맑은 고딕" w:cs="맑은 고딕"/>
        </w:rPr>
        <w:t>누구도 다른 사람의 판단을 받아들일 필요는 없다. 같은 것을 볼 수 있고, 그다음 스스로 결정할 수 있으면 충분하다.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left w:val="single" w:sz="24" w:space="0" w:color="1F3B73"/>
              <w:top w:val="single" w:sz="4" w:space="0" w:color="F5F6F8"/>
              <w:bottom w:val="single" w:sz="4" w:space="0" w:color="F5F6F8"/>
              <w:right w:val="single" w:sz="4" w:space="0" w:color="F5F6F8"/>
            </w:tcBorders>
            <w:shd w:val="clear" w:color="auto" w:fill="F5F6F8"/>
          </w:tcPr>
          <w:p>
            <w:pPr>
              <w:spacing w:before="120" w:after="120"/>
              <w:ind w:left="142"/>
            </w:pPr>
            <w:r>
              <w:rPr>
                <w:b w:val="0"/>
                <w:i/>
                <w:sz w:val="20"/>
                <w:rFonts w:ascii="맑은 고딕" w:hAnsi="맑은 고딕" w:eastAsia="맑은 고딕" w:cs="맑은 고딕"/>
              </w:rPr>
              <w:t>몇 년 후에는 우리 집에도 가사 로봇이 있고 길거리에도 로봇이 걸어 다닐 것 같습니다. AI 로봇이 나를 때린다면, 나는 누구에게 소송을 걸어야 합니까? AI 배포자인가, 로봇을 만든 사람인가, 아니면 데이터셋을 무단으로 여러 번 재배포한 사람인가? 공급망에서 학습데이터와 AI 모델이 다음 이해관계자에게 전달될 때 증빙 가능한 정보가 함께 들어간다면, 그 판단의 근거가 됩니다.</w:t>
            </w:r>
          </w:p>
        </w:tc>
      </w:tr>
    </w:tbl>
    <w:p>
      <w:pPr>
        <w:spacing w:after="40"/>
      </w:pPr>
    </w:p>
    <w:p>
      <w:pPr>
        <w:spacing w:before="0" w:after="120"/>
      </w:pPr>
      <w:r>
        <w:rPr>
          <w:b w:val="0"/>
          <w:i w:val="0"/>
          <w:sz w:val="20"/>
          <w:rFonts w:ascii="맑은 고딕" w:hAnsi="맑은 고딕" w:eastAsia="맑은 고딕" w:cs="맑은 고딕"/>
        </w:rPr>
        <w:t>K-AI BOM 현황 — SPDX를 차용한 한국형 AI-BOM으로 개발 중이며 NIPA 과제를 통해 수행. 별도로 학습데이터를 직접 추적해볼 수 있는 플랫폼도 제공 중이다. 목적은 사후 수습이 아니라 사전 대처 — 다 만들어놓고 나서 거액짜리 데이터셋을 썼다는 걸 알게 되는 상황을 막는 것.</w:t>
      </w:r>
    </w:p>
    <w:p>
      <w:r>
        <w:br w:type="page"/>
      </w:r>
    </w:p>
    <w:p>
      <w:pPr>
        <w:pStyle w:val="Heading1"/>
      </w:pPr>
      <w:r>
        <w:t>6. 외부 검증 — 웹 리서치 팩트체크</w:t>
      </w:r>
    </w:p>
    <w:p>
      <w:pPr>
        <w:spacing w:before="0" w:after="120"/>
      </w:pPr>
      <w:r>
        <w:rPr>
          <w:b w:val="0"/>
          <w:i w:val="0"/>
          <w:color w:val="5A606A"/>
          <w:sz w:val="19"/>
          <w:rFonts w:ascii="맑은 고딕" w:hAnsi="맑은 고딕" w:eastAsia="맑은 고딕" w:cs="맑은 고딕"/>
        </w:rPr>
        <w:t>발표 내용을 1차 자료와 대조한 결과다 (2026-09-07 검색 기준).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2551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발표 내용</w:t>
            </w:r>
          </w:p>
        </w:tc>
        <w:tc>
          <w:tcPr>
            <w:tcW w:type="dxa" w:w="5669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공개 자료로 확인한 것</w:t>
            </w:r>
          </w:p>
        </w:tc>
        <w:tc>
          <w:tcPr>
            <w:tcW w:type="dxa" w:w="1417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판정</w:t>
            </w:r>
          </w:p>
        </w:tc>
      </w:tr>
      <w:tr>
        <w:tc>
          <w:tcPr>
            <w:tcW w:type="dxa" w:w="2551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「Bartz v. Anthropic 합의금 약 2조 원」</w:t>
            </w:r>
          </w:p>
        </w:tc>
        <w:tc>
          <w:tcPr>
            <w:tcW w:type="dxa" w:w="5669"/>
          </w:tcPr>
          <w:p>
            <w:pPr>
              <w:spacing w:before="40" w:after="40" w:line="288" w:lineRule="auto"/>
            </w:pPr>
            <w:r>
              <w:rPr>
                <w:b/>
                <w:sz w:val="18"/>
                <w:rFonts w:ascii="맑은 고딕" w:hAnsi="맑은 고딕" w:eastAsia="맑은 고딕" w:cs="맑은 고딕"/>
              </w:rPr>
              <w:t>$1.5B(15억 달러)</w:t>
            </w:r>
            <w:r>
              <w:rPr>
                <w:b w:val="0"/>
                <w:sz w:val="18"/>
                <w:rFonts w:ascii="맑은 고딕" w:hAnsi="맑은 고딕" w:eastAsia="맑은 고딕" w:cs="맑은 고딕"/>
              </w:rPr>
              <w:t xml:space="preserve"> 합의. 약 50만 건의 저작물 대상, </w:t>
            </w:r>
            <w:r>
              <w:rPr>
                <w:b/>
                <w:sz w:val="18"/>
                <w:rFonts w:ascii="맑은 고딕" w:hAnsi="맑은 고딕" w:eastAsia="맑은 고딕" w:cs="맑은 고딕"/>
              </w:rPr>
              <w:t>작품당 약 $3,000</w:t>
            </w:r>
            <w:r>
              <w:rPr>
                <w:b w:val="0"/>
                <w:sz w:val="18"/>
                <w:rFonts w:ascii="맑은 고딕" w:hAnsi="맑은 고딕" w:eastAsia="맑은 고딕" w:cs="맑은 고딕"/>
              </w:rPr>
              <w:t>, 해적판 데이터셋 폐기 의무, 120일 옵트아웃. 미국 사상 최대 규모 저작권 합의 [1][2][3]</w:t>
            </w:r>
          </w:p>
        </w:tc>
        <w:tc>
          <w:tcPr>
            <w:tcW w:type="dxa" w:w="1417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맞음</w:t>
            </w:r>
          </w:p>
        </w:tc>
      </w:tr>
      <w:tr>
        <w:tc>
          <w:tcPr>
            <w:tcW w:type="dxa" w:w="2551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Bartz 4요소 표 (①O ②O ③X)</w:t>
            </w:r>
          </w:p>
        </w:tc>
        <w:tc>
          <w:tcPr>
            <w:tcW w:type="dxa" w:w="5669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 xml:space="preserve">Alsup 판사는 </w:t>
            </w:r>
            <w:r>
              <w:rPr>
                <w:b/>
                <w:sz w:val="18"/>
                <w:rFonts w:ascii="맑은 고딕" w:hAnsi="맑은 고딕" w:eastAsia="맑은 고딕" w:cs="맑은 고딕"/>
              </w:rPr>
              <w:t>적법 취득 도서로 학습한 것은 공정이용</w:t>
            </w:r>
            <w:r>
              <w:rPr>
                <w:b w:val="0"/>
                <w:sz w:val="18"/>
                <w:rFonts w:ascii="맑은 고딕" w:hAnsi="맑은 고딕" w:eastAsia="맑은 고딕" w:cs="맑은 고딕"/>
              </w:rPr>
              <w:t xml:space="preserve">이라 했으나, 해적 사이트에서 내려받아 중앙 라이브러리에 보관한 부분은 공정이용을 인정하지 않았다. Anthropic은 Books3·LibGen·PiLiMi 등에서 </w:t>
            </w:r>
            <w:r>
              <w:rPr>
                <w:b/>
                <w:sz w:val="18"/>
                <w:rFonts w:ascii="맑은 고딕" w:hAnsi="맑은 고딕" w:eastAsia="맑은 고딕" w:cs="맑은 고딕"/>
              </w:rPr>
              <w:t>700만 권 이상</w:t>
            </w:r>
            <w:r>
              <w:rPr>
                <w:b w:val="0"/>
                <w:sz w:val="18"/>
                <w:rFonts w:ascii="맑은 고딕" w:hAnsi="맑은 고딕" w:eastAsia="맑은 고딕" w:cs="맑은 고딕"/>
              </w:rPr>
              <w:t>을 내려받았다 [1][2][3]</w:t>
            </w:r>
          </w:p>
        </w:tc>
        <w:tc>
          <w:tcPr>
            <w:tcW w:type="dxa" w:w="1417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맞음</w:t>
            </w:r>
          </w:p>
        </w:tc>
      </w:tr>
      <w:tr>
        <w:tc>
          <w:tcPr>
            <w:tcW w:type="dxa" w:w="2551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「GEMA v. OpenAI 독일에서 OpenAI 완패」</w:t>
            </w:r>
          </w:p>
        </w:tc>
        <w:tc>
          <w:tcPr>
            <w:tcW w:type="dxa" w:w="5669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 xml:space="preserve">2025-11-11 </w:t>
            </w:r>
            <w:r>
              <w:rPr>
                <w:b/>
                <w:sz w:val="18"/>
                <w:rFonts w:ascii="맑은 고딕" w:hAnsi="맑은 고딕" w:eastAsia="맑은 고딕" w:cs="맑은 고딕"/>
              </w:rPr>
              <w:t>뮌헨 지방법원 I</w:t>
            </w:r>
            <w:r>
              <w:rPr>
                <w:b w:val="0"/>
                <w:sz w:val="18"/>
                <w:rFonts w:ascii="맑은 고딕" w:hAnsi="맑은 고딕" w:eastAsia="맑은 고딕" w:cs="맑은 고딕"/>
              </w:rPr>
              <w:t>, OpenAI가 독일 저명 아티스트의 저작권을 침해했다고 판결. 부작위·손해배상·정보제공 명령 [4][5][6]</w:t>
            </w:r>
          </w:p>
        </w:tc>
        <w:tc>
          <w:tcPr>
            <w:tcW w:type="dxa" w:w="1417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맞음</w:t>
            </w:r>
          </w:p>
        </w:tc>
      </w:tr>
      <w:tr>
        <w:tc>
          <w:tcPr>
            <w:tcW w:type="dxa" w:w="2551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「Getty Images v. Stability AI — 피고 승」</w:t>
            </w:r>
          </w:p>
        </w:tc>
        <w:tc>
          <w:tcPr>
            <w:tcW w:type="dxa" w:w="5669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 xml:space="preserve">2025-11-04 영국 고등법원. </w:t>
            </w:r>
            <w:r>
              <w:rPr>
                <w:b/>
                <w:sz w:val="18"/>
                <w:rFonts w:ascii="맑은 고딕" w:hAnsi="맑은 고딕" w:eastAsia="맑은 고딕" w:cs="맑은 고딕"/>
              </w:rPr>
              <w:t>2차적 침해 주장 기각</w:t>
            </w:r>
            <w:r>
              <w:rPr>
                <w:b w:val="0"/>
                <w:sz w:val="18"/>
                <w:rFonts w:ascii="맑은 고딕" w:hAnsi="맑은 고딕" w:eastAsia="맑은 고딕" w:cs="맑은 고딕"/>
              </w:rPr>
              <w:t xml:space="preserve"> — 모델 가중치가 원저작물을 저장하지 않으므로 「침해 복제물」이 아님. 단, </w:t>
            </w:r>
            <w:r>
              <w:rPr>
                <w:b/>
                <w:sz w:val="18"/>
                <w:rFonts w:ascii="맑은 고딕" w:hAnsi="맑은 고딕" w:eastAsia="맑은 고딕" w:cs="맑은 고딕"/>
              </w:rPr>
              <w:t>Getty가 재판 중 학습 과정 침해·산출물 침해 주장을 스스로 철회</w:t>
            </w:r>
            <w:r>
              <w:rPr>
                <w:b w:val="0"/>
                <w:sz w:val="18"/>
                <w:rFonts w:ascii="맑은 고딕" w:hAnsi="맑은 고딕" w:eastAsia="맑은 고딕" w:cs="맑은 고딕"/>
              </w:rPr>
              <w:t xml:space="preserve"> [7][8]</w:t>
            </w:r>
          </w:p>
        </w:tc>
        <w:tc>
          <w:tcPr>
            <w:tcW w:type="dxa" w:w="1417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결론은 맞음 (표현 주의)</w:t>
            </w:r>
          </w:p>
        </w:tc>
      </w:tr>
      <w:tr>
        <w:tc>
          <w:tcPr>
            <w:tcW w:type="dxa" w:w="2551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「Thomson Reuters v. ROSS — 원고 승」</w:t>
            </w:r>
          </w:p>
        </w:tc>
        <w:tc>
          <w:tcPr>
            <w:tcW w:type="dxa" w:w="5669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 xml:space="preserve">2025-02 델라웨어 연방법원, 헤드노트 2,243건 직접침해 인정 + 공정이용 항변 배척. </w:t>
            </w:r>
            <w:r>
              <w:rPr>
                <w:b/>
                <w:sz w:val="18"/>
                <w:rFonts w:ascii="맑은 고딕" w:hAnsi="맑은 고딕" w:eastAsia="맑은 고딕" w:cs="맑은 고딕"/>
              </w:rPr>
              <w:t>단, 제3연방항소법원 항소 진행 중</w:t>
            </w:r>
            <w:r>
              <w:rPr>
                <w:b w:val="0"/>
                <w:sz w:val="18"/>
                <w:rFonts w:ascii="맑은 고딕" w:hAnsi="맑은 고딕" w:eastAsia="맑은 고딕" w:cs="맑은 고딕"/>
              </w:rPr>
              <w:t xml:space="preserve"> (2025-06 상고 허가, 2026-07 구두변론) [9][10]</w:t>
            </w:r>
          </w:p>
        </w:tc>
        <w:tc>
          <w:tcPr>
            <w:tcW w:type="dxa" w:w="1417"/>
          </w:tcPr>
          <w:p>
            <w:pPr>
              <w:spacing w:before="40" w:after="40" w:line="288" w:lineRule="auto"/>
            </w:pPr>
            <w:r>
              <w:rPr>
                <w:b/>
                <w:sz w:val="18"/>
                <w:rFonts w:ascii="맑은 고딕" w:hAnsi="맑은 고딕" w:eastAsia="맑은 고딕" w:cs="맑은 고딕"/>
              </w:rPr>
              <w:t>확정된 법리 아님</w:t>
            </w:r>
          </w:p>
        </w:tc>
      </w:tr>
      <w:tr>
        <w:tc>
          <w:tcPr>
            <w:tcW w:type="dxa" w:w="2551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「K-EXAONE 2.0 = 750B, 오픈소스」</w:t>
            </w:r>
          </w:p>
        </w:tc>
        <w:tc>
          <w:tcPr>
            <w:tcW w:type="dxa" w:w="5669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 xml:space="preserve">LG AI연구원이 </w:t>
            </w:r>
            <w:r>
              <w:rPr>
                <w:b/>
                <w:sz w:val="18"/>
                <w:rFonts w:ascii="맑은 고딕" w:hAnsi="맑은 고딕" w:eastAsia="맑은 고딕" w:cs="맑은 고딕"/>
              </w:rPr>
              <w:t>7,500억(750B) 파라미터 K-EXAONE 2.0</w:t>
            </w:r>
            <w:r>
              <w:rPr>
                <w:b w:val="0"/>
                <w:sz w:val="18"/>
                <w:rFonts w:ascii="맑은 고딕" w:hAnsi="맑은 고딕" w:eastAsia="맑은 고딕" w:cs="맑은 고딕"/>
              </w:rPr>
              <w:t>을 공개, 상업적 활용 가능하도록 오픈소스로 전면 개방 [11]</w:t>
            </w:r>
          </w:p>
        </w:tc>
        <w:tc>
          <w:tcPr>
            <w:tcW w:type="dxa" w:w="1417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맞음</w:t>
            </w:r>
          </w:p>
        </w:tc>
      </w:tr>
      <w:tr>
        <w:tc>
          <w:tcPr>
            <w:tcW w:type="dxa" w:w="2551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「GEMA v. Suno 독일 연쇄 패소(2026)」</w:t>
            </w:r>
          </w:p>
        </w:tc>
        <w:tc>
          <w:tcPr>
            <w:tcW w:type="dxa" w:w="5669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이번 검색으로는 확인하지 못함</w:t>
            </w:r>
          </w:p>
        </w:tc>
        <w:tc>
          <w:tcPr>
            <w:tcW w:type="dxa" w:w="1417"/>
          </w:tcPr>
          <w:p>
            <w:pPr>
              <w:spacing w:before="40" w:after="40" w:line="288" w:lineRule="auto"/>
            </w:pPr>
            <w:r>
              <w:rPr>
                <w:b/>
                <w:sz w:val="18"/>
                <w:rFonts w:ascii="맑은 고딕" w:hAnsi="맑은 고딕" w:eastAsia="맑은 고딕" w:cs="맑은 고딕"/>
              </w:rPr>
              <w:t>미검증</w:t>
            </w:r>
          </w:p>
        </w:tc>
      </w:tr>
    </w:tbl>
    <w:p>
      <w:pPr>
        <w:spacing w:after="40"/>
      </w:pPr>
    </w:p>
    <w:p>
      <w:pPr>
        <w:pStyle w:val="Heading2"/>
      </w:pPr>
      <w:r>
        <w:t>6-1. 「라벨을 믿지 마라」에 대한 독립적 근거</w:t>
      </w:r>
    </w:p>
    <w:p>
      <w:pPr>
        <w:spacing w:before="0" w:after="120"/>
      </w:pPr>
      <w:r>
        <w:rPr>
          <w:b w:val="0"/>
          <w:i w:val="0"/>
          <w:sz w:val="20"/>
          <w:rFonts w:ascii="맑은 고딕" w:hAnsi="맑은 고딕" w:eastAsia="맑은 고딕" w:cs="맑은 고딕"/>
        </w:rPr>
        <w:t>LG의 2,852 → 605(21.2%)는 자체 산출이라 외부 검증이 안 된다. 그런데 같은 현상을 다른 팀이 독립적으로 측정한 연구가 있다 — Data Provenance Initiative (MIT 등, Nature Machine Intelligence 게재) [12][13].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2268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측정 항목</w:t>
            </w:r>
          </w:p>
        </w:tc>
        <w:tc>
          <w:tcPr>
            <w:tcW w:type="dxa" w:w="7370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결과</w:t>
            </w:r>
          </w:p>
        </w:tc>
      </w:tr>
      <w:tr>
        <w:tc>
          <w:tcPr>
            <w:tcW w:type="dxa" w:w="2268"/>
          </w:tcPr>
          <w:p>
            <w:pPr>
              <w:spacing w:before="40" w:after="40" w:line="288" w:lineRule="auto"/>
            </w:pPr>
            <w:r>
              <w:rPr>
                <w:b/>
                <w:sz w:val="18"/>
                <w:rFonts w:ascii="맑은 고딕" w:hAnsi="맑은 고딕" w:eastAsia="맑은 고딕" w:cs="맑은 고딕"/>
              </w:rPr>
              <w:t>감사 대상</w:t>
            </w:r>
          </w:p>
        </w:tc>
        <w:tc>
          <w:tcPr>
            <w:tcW w:type="dxa" w:w="7370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 xml:space="preserve">44개 instruction/alignment 컬렉션, </w:t>
            </w:r>
            <w:r>
              <w:rPr>
                <w:b/>
                <w:sz w:val="18"/>
                <w:rFonts w:ascii="맑은 고딕" w:hAnsi="맑은 고딕" w:eastAsia="맑은 고딕" w:cs="맑은 고딕"/>
              </w:rPr>
              <w:t>1,858개 개별 데이터셋</w:t>
            </w:r>
            <w:r>
              <w:rPr>
                <w:b w:val="0"/>
                <w:sz w:val="18"/>
                <w:rFonts w:ascii="맑은 고딕" w:hAnsi="맑은 고딕" w:eastAsia="맑은 고딕" w:cs="맑은 고딕"/>
              </w:rPr>
              <w:t>의 계보 추적</w:t>
            </w:r>
          </w:p>
        </w:tc>
      </w:tr>
      <w:tr>
        <w:tc>
          <w:tcPr>
            <w:tcW w:type="dxa" w:w="2268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sz w:val="18"/>
                <w:rFonts w:ascii="맑은 고딕" w:hAnsi="맑은 고딕" w:eastAsia="맑은 고딕" w:cs="맑은 고딕"/>
              </w:rPr>
              <w:t>라이선스 누락률</w:t>
            </w:r>
          </w:p>
        </w:tc>
        <w:tc>
          <w:tcPr>
            <w:tcW w:type="dxa" w:w="7370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 xml:space="preserve">GitHub·허깅페이스 인기 데이터셋의 </w:t>
            </w:r>
            <w:r>
              <w:rPr>
                <w:b/>
                <w:sz w:val="18"/>
                <w:rFonts w:ascii="맑은 고딕" w:hAnsi="맑은 고딕" w:eastAsia="맑은 고딕" w:cs="맑은 고딕"/>
              </w:rPr>
              <w:t>70% 이상이 「unspecified」</w:t>
            </w:r>
          </w:p>
        </w:tc>
      </w:tr>
      <w:tr>
        <w:tc>
          <w:tcPr>
            <w:tcW w:type="dxa" w:w="2268"/>
          </w:tcPr>
          <w:p>
            <w:pPr>
              <w:spacing w:before="40" w:after="40" w:line="288" w:lineRule="auto"/>
            </w:pPr>
            <w:r>
              <w:rPr>
                <w:b/>
                <w:sz w:val="18"/>
                <w:rFonts w:ascii="맑은 고딕" w:hAnsi="맑은 고딕" w:eastAsia="맑은 고딕" w:cs="맑은 고딕"/>
              </w:rPr>
              <w:t>라이선스 오류율</w:t>
            </w:r>
          </w:p>
        </w:tc>
        <w:tc>
          <w:tcPr>
            <w:tcW w:type="dxa" w:w="7370"/>
          </w:tcPr>
          <w:p>
            <w:pPr>
              <w:spacing w:before="40" w:after="40" w:line="288" w:lineRule="auto"/>
            </w:pPr>
            <w:r>
              <w:rPr>
                <w:b/>
                <w:sz w:val="18"/>
                <w:rFonts w:ascii="맑은 고딕" w:hAnsi="맑은 고딕" w:eastAsia="맑은 고딕" w:cs="맑은 고딕"/>
              </w:rPr>
              <w:t>50% 이상.</w:t>
            </w:r>
            <w:r>
              <w:rPr>
                <w:b w:val="0"/>
                <w:sz w:val="18"/>
                <w:rFonts w:ascii="맑은 고딕" w:hAnsi="맑은 고딕" w:eastAsia="맑은 고딕" w:cs="맑은 고딕"/>
              </w:rPr>
              <w:t xml:space="preserve"> 허깅페이스 라이선스의 </w:t>
            </w:r>
            <w:r>
              <w:rPr>
                <w:b/>
                <w:sz w:val="18"/>
                <w:rFonts w:ascii="맑은 고딕" w:hAnsi="맑은 고딕" w:eastAsia="맑은 고딕" w:cs="맑은 고딕"/>
              </w:rPr>
              <w:t>66%가 실제와 다른 이용 카테고리</w:t>
            </w:r>
          </w:p>
        </w:tc>
      </w:tr>
      <w:tr>
        <w:tc>
          <w:tcPr>
            <w:tcW w:type="dxa" w:w="2268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sz w:val="18"/>
                <w:rFonts w:ascii="맑은 고딕" w:hAnsi="맑은 고딕" w:eastAsia="맑은 고딕" w:cs="맑은 고딕"/>
              </w:rPr>
              <w:t>오류의 방향</w:t>
            </w:r>
          </w:p>
        </w:tc>
        <w:tc>
          <w:tcPr>
            <w:tcW w:type="dxa" w:w="7370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 xml:space="preserve">대부분 </w:t>
            </w:r>
            <w:r>
              <w:rPr>
                <w:b/>
                <w:sz w:val="18"/>
                <w:rFonts w:ascii="맑은 고딕" w:hAnsi="맑은 고딕" w:eastAsia="맑은 고딕" w:cs="맑은 고딕"/>
              </w:rPr>
              <w:t>원저자의 실제 라이선스보다 더 관대(permissive)하게</w:t>
            </w:r>
            <w:r>
              <w:rPr>
                <w:b w:val="0"/>
                <w:sz w:val="18"/>
                <w:rFonts w:ascii="맑은 고딕" w:hAnsi="맑은 고딕" w:eastAsia="맑은 고딕" w:cs="맑은 고딕"/>
              </w:rPr>
              <w:t xml:space="preserve"> 표기됨</w:t>
            </w:r>
          </w:p>
        </w:tc>
      </w:tr>
      <w:tr>
        <w:tc>
          <w:tcPr>
            <w:tcW w:type="dxa" w:w="2268"/>
          </w:tcPr>
          <w:p>
            <w:pPr>
              <w:spacing w:before="40" w:after="40" w:line="288" w:lineRule="auto"/>
            </w:pPr>
            <w:r>
              <w:rPr>
                <w:b/>
                <w:sz w:val="18"/>
                <w:rFonts w:ascii="맑은 고딕" w:hAnsi="맑은 고딕" w:eastAsia="맑은 고딕" w:cs="맑은 고딕"/>
              </w:rPr>
              <w:t>개선 결과</w:t>
            </w:r>
          </w:p>
        </w:tc>
        <w:tc>
          <w:tcPr>
            <w:tcW w:type="dxa" w:w="7370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 xml:space="preserve">미지정 라이선스를 72% → </w:t>
            </w:r>
            <w:r>
              <w:rPr>
                <w:b/>
                <w:sz w:val="18"/>
                <w:rFonts w:ascii="맑은 고딕" w:hAnsi="맑은 고딕" w:eastAsia="맑은 고딕" w:cs="맑은 고딕"/>
              </w:rPr>
              <w:t>30%</w:t>
            </w:r>
            <w:r>
              <w:rPr>
                <w:b w:val="0"/>
                <w:sz w:val="18"/>
                <w:rFonts w:ascii="맑은 고딕" w:hAnsi="맑은 고딕" w:eastAsia="맑은 고딕" w:cs="맑은 고딕"/>
              </w:rPr>
              <w:t>로 낮추고 라이선스 URL 부착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left w:val="single" w:sz="24" w:space="0" w:color="1F3B73"/>
              <w:top w:val="single" w:sz="4" w:space="0" w:color="F5F6F8"/>
              <w:bottom w:val="single" w:sz="4" w:space="0" w:color="F5F6F8"/>
              <w:right w:val="single" w:sz="4" w:space="0" w:color="F5F6F8"/>
            </w:tcBorders>
            <w:shd w:val="clear" w:color="auto" w:fill="F5F6F8"/>
          </w:tcPr>
          <w:p>
            <w:pPr>
              <w:spacing w:before="120" w:after="120"/>
              <w:ind w:left="142"/>
            </w:pPr>
            <w:r>
              <w:rPr>
                <w:b/>
                <w:i w:val="0"/>
                <w:sz w:val="20"/>
                <w:rFonts w:ascii="맑은 고딕" w:hAnsi="맑은 고딕" w:eastAsia="맑은 고딕" w:cs="맑은 고딕"/>
              </w:rPr>
              <w:t>「허깅페이스 라벨이 실제보다 더 관대한 쪽으로 틀린다」는 것은, UltraFeedback 사례(MIT라 적혀 있으나 실제는 C-2)가 예외가 아니라 구조적 패턴임을 뜻한다. LG의 21.2%와 DPI의 66% 오분류는 서로 다른 방법론으로 같은 방향을 가리킨다.</w:t>
            </w:r>
          </w:p>
        </w:tc>
      </w:tr>
    </w:tbl>
    <w:p>
      <w:pPr>
        <w:spacing w:after="40"/>
      </w:pPr>
    </w:p>
    <w:p>
      <w:pPr>
        <w:pStyle w:val="Heading2"/>
      </w:pPr>
      <w:r>
        <w:t>6-2. AI-BOM 표준의 현재 위치</w:t>
      </w:r>
    </w:p>
    <w:p>
      <w:pPr>
        <w:pStyle w:val="ListBullet"/>
        <w:spacing w:after="60" w:line="312" w:lineRule="auto"/>
        <w:ind w:left="340"/>
      </w:pPr>
      <w:r>
        <w:rPr>
          <w:sz w:val="20"/>
          <w:rFonts w:ascii="맑은 고딕" w:hAnsi="맑은 고딕" w:eastAsia="맑은 고딕" w:cs="맑은 고딕"/>
        </w:rPr>
        <w:t>**SPDX 3.0**은 **2024-04-16 정식 릴리스**되었고, **AI Profile**과 **Dataset Profile**을 분리해 담았다 [14][15]</w:t>
      </w:r>
    </w:p>
    <w:p>
      <w:pPr>
        <w:pStyle w:val="ListBullet"/>
        <w:spacing w:after="60" w:line="312" w:lineRule="auto"/>
        <w:ind w:left="340"/>
      </w:pPr>
      <w:r>
        <w:rPr>
          <w:sz w:val="20"/>
          <w:rFonts w:ascii="맑은 고딕" w:hAnsi="맑은 고딕" w:eastAsia="맑은 고딕" w:cs="맑은 고딕"/>
        </w:rPr>
        <w:t>산업계·학계 워킹그룹이 모델 카드·데이터시트·팩트시트를 분석해 두 프로파일에 걸쳐 **36개 필드**를 선정 [14][15]</w:t>
      </w:r>
    </w:p>
    <w:p>
      <w:pPr>
        <w:pStyle w:val="ListBullet"/>
        <w:spacing w:after="60" w:line="312" w:lineRule="auto"/>
        <w:ind w:left="340"/>
      </w:pPr>
      <w:r>
        <w:rPr>
          <w:sz w:val="20"/>
          <w:rFonts w:ascii="맑은 고딕" w:hAnsi="맑은 고딕" w:eastAsia="맑은 고딕" w:cs="맑은 고딕"/>
        </w:rPr>
        <w:t>이 프레임워크는 **EU AI Act, FDA 의료기기 규제 등 규제 요건에 매핑**되도록 설계되었고, 기존 SPDX 툴체인과 호환된다 [14][15]</w:t>
      </w:r>
    </w:p>
    <w:p>
      <w:pPr>
        <w:pStyle w:val="ListBullet"/>
        <w:spacing w:after="60" w:line="312" w:lineRule="auto"/>
        <w:ind w:left="340"/>
      </w:pPr>
      <w:r>
        <w:rPr>
          <w:sz w:val="20"/>
          <w:rFonts w:ascii="맑은 고딕" w:hAnsi="맑은 고딕" w:eastAsia="맑은 고딕" w:cs="맑은 고딕"/>
        </w:rPr>
        <w:t>Linux Foundation Research가 실무 가이드를 공개 [14][16]</w:t>
      </w:r>
    </w:p>
    <w:p>
      <w:pPr>
        <w:spacing w:before="0" w:after="120"/>
      </w:pPr>
      <w:r>
        <w:rPr>
          <w:b w:val="0"/>
          <w:i w:val="0"/>
          <w:sz w:val="20"/>
          <w:rFonts w:ascii="맑은 고딕" w:hAnsi="맑은 고딕" w:eastAsia="맑은 고딕" w:cs="맑은 고딕"/>
        </w:rPr>
        <w:t>→ 발표의 표현은 정확하다. 스펙에는 데이터셋 계보를 담을 필드가 이미 있다. 없는 것은 그 필드를 채울 데이터이고, LG가 만든 것은 표준이 아니라 그 필드를 채우는 에이전트다. 다만 SPDX 3.0의 Dataset Profile은 「이 데이터셋이 무엇인가」를 기술하는 데는 충분하지만 「어디서 왔는가」를 재귀적으로 강제하지는 않는다 — 발표가 지목한 빈칸이 정확히 여기다.</w:t>
      </w:r>
    </w:p>
    <w:p>
      <w:r>
        <w:br w:type="page"/>
      </w:r>
    </w:p>
    <w:p>
      <w:pPr>
        <w:pStyle w:val="Heading1"/>
      </w:pPr>
      <w:r>
        <w:t>7. 우리 팀에서 바로 쓸 것</w:t>
      </w:r>
    </w:p>
    <w:p>
      <w:pPr>
        <w:pStyle w:val="Heading2"/>
      </w:pPr>
      <w:r>
        <w:t>7-1. 규제 데드라인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1701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관할</w:t>
            </w:r>
          </w:p>
        </w:tc>
        <w:tc>
          <w:tcPr>
            <w:tcW w:type="dxa" w:w="1701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근거</w:t>
            </w:r>
          </w:p>
        </w:tc>
        <w:tc>
          <w:tcPr>
            <w:tcW w:type="dxa" w:w="1984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시점</w:t>
            </w:r>
          </w:p>
        </w:tc>
        <w:tc>
          <w:tcPr>
            <w:tcW w:type="dxa" w:w="4252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요구 사항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88" w:lineRule="auto"/>
            </w:pPr>
            <w:r>
              <w:rPr>
                <w:b/>
                <w:sz w:val="18"/>
                <w:rFonts w:ascii="맑은 고딕" w:hAnsi="맑은 고딕" w:eastAsia="맑은 고딕" w:cs="맑은 고딕"/>
              </w:rPr>
              <w:t>한국</w:t>
            </w:r>
          </w:p>
        </w:tc>
        <w:tc>
          <w:tcPr>
            <w:tcW w:type="dxa" w:w="1701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AI 기본법 + 시행령</w:t>
            </w:r>
          </w:p>
        </w:tc>
        <w:tc>
          <w:tcPr>
            <w:tcW w:type="dxa" w:w="1984"/>
          </w:tcPr>
          <w:p>
            <w:pPr>
              <w:spacing w:before="40" w:after="40" w:line="288" w:lineRule="auto"/>
            </w:pPr>
            <w:r>
              <w:rPr>
                <w:b/>
                <w:sz w:val="18"/>
                <w:rFonts w:ascii="맑은 고딕" w:hAnsi="맑은 고딕" w:eastAsia="맑은 고딕" w:cs="맑은 고딕"/>
              </w:rPr>
              <w:t>2026-01-22 시행</w:t>
            </w:r>
          </w:p>
        </w:tc>
        <w:tc>
          <w:tcPr>
            <w:tcW w:type="dxa" w:w="4252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 xml:space="preserve">고영향 AI·생성형 AI 기반이라는 사실의 사전 고지 등. </w:t>
            </w:r>
            <w:r>
              <w:rPr>
                <w:b/>
                <w:sz w:val="18"/>
                <w:rFonts w:ascii="맑은 고딕" w:hAnsi="맑은 고딕" w:eastAsia="맑은 고딕" w:cs="맑은 고딕"/>
              </w:rPr>
              <w:t>규제 적용은 최소 1년 이상 유예</w:t>
            </w:r>
            <w:r>
              <w:rPr>
                <w:b w:val="0"/>
                <w:sz w:val="18"/>
                <w:rFonts w:ascii="맑은 고딕" w:hAnsi="맑은 고딕" w:eastAsia="맑은 고딕" w:cs="맑은 고딕"/>
              </w:rPr>
              <w:t>되며 유예 기간에는 계도 중심 운영 [17][18]</w:t>
            </w:r>
          </w:p>
        </w:tc>
      </w:tr>
      <w:tr>
        <w:tc>
          <w:tcPr>
            <w:tcW w:type="dxa" w:w="1701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sz w:val="18"/>
                <w:rFonts w:ascii="맑은 고딕" w:hAnsi="맑은 고딕" w:eastAsia="맑은 고딕" w:cs="맑은 고딕"/>
              </w:rPr>
              <w:t>EU</w:t>
            </w:r>
          </w:p>
        </w:tc>
        <w:tc>
          <w:tcPr>
            <w:tcW w:type="dxa" w:w="1701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AI Act 제53조(1)(d)</w:t>
            </w:r>
          </w:p>
        </w:tc>
        <w:tc>
          <w:tcPr>
            <w:tcW w:type="dxa" w:w="1984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 xml:space="preserve">의무 </w:t>
            </w:r>
            <w:r>
              <w:rPr>
                <w:b/>
                <w:sz w:val="18"/>
                <w:rFonts w:ascii="맑은 고딕" w:hAnsi="맑은 고딕" w:eastAsia="맑은 고딕" w:cs="맑은 고딕"/>
              </w:rPr>
              <w:t>2025-08-02</w:t>
            </w:r>
            <w:r>
              <w:rPr>
                <w:b w:val="0"/>
                <w:sz w:val="18"/>
                <w:rFonts w:ascii="맑은 고딕" w:hAnsi="맑은 고딕" w:eastAsia="맑은 고딕" w:cs="맑은 고딕"/>
              </w:rPr>
              <w:t xml:space="preserve">, 집행 </w:t>
            </w:r>
            <w:r>
              <w:rPr>
                <w:b/>
                <w:sz w:val="18"/>
                <w:rFonts w:ascii="맑은 고딕" w:hAnsi="맑은 고딕" w:eastAsia="맑은 고딕" w:cs="맑은 고딕"/>
              </w:rPr>
              <w:t>2026-08-02</w:t>
            </w:r>
            <w:r>
              <w:rPr>
                <w:b w:val="0"/>
                <w:sz w:val="18"/>
                <w:rFonts w:ascii="맑은 고딕" w:hAnsi="맑은 고딕" w:eastAsia="맑은 고딕" w:cs="맑은 고딕"/>
              </w:rPr>
              <w:t xml:space="preserve">, 기존 모델 </w:t>
            </w:r>
            <w:r>
              <w:rPr>
                <w:b/>
                <w:sz w:val="18"/>
                <w:rFonts w:ascii="맑은 고딕" w:hAnsi="맑은 고딕" w:eastAsia="맑은 고딕" w:cs="맑은 고딕"/>
              </w:rPr>
              <w:t>2027-08-02</w:t>
            </w:r>
          </w:p>
        </w:tc>
        <w:tc>
          <w:tcPr>
            <w:tcW w:type="dxa" w:w="4252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 xml:space="preserve">AI Office 공식 템플릿(2025-07-24 공개)으로 학습 콘텐츠 요약 공개. </w:t>
            </w:r>
            <w:r>
              <w:rPr>
                <w:b/>
                <w:sz w:val="18"/>
                <w:rFonts w:ascii="맑은 고딕" w:hAnsi="맑은 고딕" w:eastAsia="맑은 고딕" w:cs="맑은 고딕"/>
              </w:rPr>
              <w:t>오픈소스·무료 라이선스 모델도 대상.</w:t>
            </w:r>
            <w:r>
              <w:rPr>
                <w:b w:val="0"/>
                <w:sz w:val="18"/>
                <w:rFonts w:ascii="맑은 고딕" w:hAnsi="맑은 고딕" w:eastAsia="맑은 고딕" w:cs="맑은 고딕"/>
              </w:rPr>
              <w:t xml:space="preserve"> 위반 시 </w:t>
            </w:r>
            <w:r>
              <w:rPr>
                <w:b/>
                <w:sz w:val="18"/>
                <w:rFonts w:ascii="맑은 고딕" w:hAnsi="맑은 고딕" w:eastAsia="맑은 고딕" w:cs="맑은 고딕"/>
              </w:rPr>
              <w:t>최대 1,500만 유로 또는 전 세계 매출 3%</w:t>
            </w:r>
            <w:r>
              <w:rPr>
                <w:b w:val="0"/>
                <w:sz w:val="18"/>
                <w:rFonts w:ascii="맑은 고딕" w:hAnsi="맑은 고딕" w:eastAsia="맑은 고딕" w:cs="맑은 고딕"/>
              </w:rPr>
              <w:t xml:space="preserve"> 중 큰 금액 [19][20][21]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88" w:lineRule="auto"/>
            </w:pPr>
            <w:r>
              <w:rPr>
                <w:b/>
                <w:sz w:val="18"/>
                <w:rFonts w:ascii="맑은 고딕" w:hAnsi="맑은 고딕" w:eastAsia="맑은 고딕" w:cs="맑은 고딕"/>
              </w:rPr>
              <w:t>미국(캘리포니아)</w:t>
            </w:r>
          </w:p>
        </w:tc>
        <w:tc>
          <w:tcPr>
            <w:tcW w:type="dxa" w:w="1701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AB 2013</w:t>
            </w:r>
          </w:p>
        </w:tc>
        <w:tc>
          <w:tcPr>
            <w:tcW w:type="dxa" w:w="1984"/>
          </w:tcPr>
          <w:p>
            <w:pPr>
              <w:spacing w:before="40" w:after="40" w:line="288" w:lineRule="auto"/>
            </w:pPr>
            <w:r>
              <w:rPr>
                <w:b/>
                <w:sz w:val="18"/>
                <w:rFonts w:ascii="맑은 고딕" w:hAnsi="맑은 고딕" w:eastAsia="맑은 고딕" w:cs="맑은 고딕"/>
              </w:rPr>
              <w:t>2026-01-01 시행</w:t>
            </w:r>
          </w:p>
        </w:tc>
        <w:tc>
          <w:tcPr>
            <w:tcW w:type="dxa" w:w="4252"/>
          </w:tcPr>
          <w:p>
            <w:pPr>
              <w:spacing w:before="40" w:after="40" w:line="288" w:lineRule="auto"/>
            </w:pPr>
            <w:r>
              <w:rPr>
                <w:b/>
                <w:sz w:val="18"/>
                <w:rFonts w:ascii="맑은 고딕" w:hAnsi="맑은 고딕" w:eastAsia="맑은 고딕" w:cs="맑은 고딕"/>
              </w:rPr>
              <w:t>2022-01-01 이후</w:t>
            </w:r>
            <w:r>
              <w:rPr>
                <w:b w:val="0"/>
                <w:sz w:val="18"/>
                <w:rFonts w:ascii="맑은 고딕" w:hAnsi="맑은 고딕" w:eastAsia="맑은 고딕" w:cs="맑은 고딕"/>
              </w:rPr>
              <w:t xml:space="preserve"> 공개된 생성형 AI에 대해 학습 데이터셋 요약을 웹사이트에 사전 게시, 중대 변경 시 갱신. </w:t>
            </w:r>
            <w:r>
              <w:rPr>
                <w:b/>
                <w:sz w:val="18"/>
                <w:rFonts w:ascii="맑은 고딕" w:hAnsi="맑은 고딕" w:eastAsia="맑은 고딕" w:cs="맑은 고딕"/>
              </w:rPr>
              <w:t>12개 항목</w:t>
            </w:r>
            <w:r>
              <w:rPr>
                <w:b w:val="0"/>
                <w:sz w:val="18"/>
                <w:rFonts w:ascii="맑은 고딕" w:hAnsi="맑은 고딕" w:eastAsia="맑은 고딕" w:cs="맑은 고딕"/>
              </w:rPr>
              <w:t xml:space="preserve">(출처·소유자, 데이터 포인트 수, 저작물·개인정보 포함 여부 등). </w:t>
            </w:r>
            <w:r>
              <w:rPr>
                <w:b/>
                <w:sz w:val="18"/>
                <w:rFonts w:ascii="맑은 고딕" w:hAnsi="맑은 고딕" w:eastAsia="맑은 고딕" w:cs="맑은 고딕"/>
              </w:rPr>
              <w:t>영업비밀 예외 없음</w:t>
            </w:r>
            <w:r>
              <w:rPr>
                <w:b w:val="0"/>
                <w:sz w:val="18"/>
                <w:rFonts w:ascii="맑은 고딕" w:hAnsi="맑은 고딕" w:eastAsia="맑은 고딕" w:cs="맑은 고딕"/>
              </w:rPr>
              <w:t xml:space="preserve"> → xAI가 위헌 소송 제기 [22][23][24]</w:t>
            </w:r>
          </w:p>
        </w:tc>
      </w:tr>
      <w:tr>
        <w:tc>
          <w:tcPr>
            <w:tcW w:type="dxa" w:w="1701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sz w:val="18"/>
                <w:rFonts w:ascii="맑은 고딕" w:hAnsi="맑은 고딕" w:eastAsia="맑은 고딕" w:cs="맑은 고딕"/>
              </w:rPr>
              <w:t>한국(저작권법)</w:t>
            </w:r>
          </w:p>
        </w:tc>
        <w:tc>
          <w:tcPr>
            <w:tcW w:type="dxa" w:w="1701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TDM 면책 조항</w:t>
            </w:r>
          </w:p>
        </w:tc>
        <w:tc>
          <w:tcPr>
            <w:tcW w:type="dxa" w:w="1984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sz w:val="18"/>
                <w:rFonts w:ascii="맑은 고딕" w:hAnsi="맑은 고딕" w:eastAsia="맑은 고딕" w:cs="맑은 고딕"/>
              </w:rPr>
              <w:t>미입법</w:t>
            </w:r>
          </w:p>
        </w:tc>
        <w:tc>
          <w:tcPr>
            <w:tcW w:type="dxa" w:w="4252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 xml:space="preserve">AI 학습 목적 복제를 조건부 허용하는 개정안이 발의됐으나 국회 미통과. 한편 문체부는 </w:t>
            </w:r>
            <w:r>
              <w:rPr>
                <w:b/>
                <w:sz w:val="18"/>
                <w:rFonts w:ascii="맑은 고딕" w:hAnsi="맑은 고딕" w:eastAsia="맑은 고딕" w:cs="맑은 고딕"/>
              </w:rPr>
              <w:t>학습데이터 목록 공개 의무</w:t>
            </w:r>
            <w:r>
              <w:rPr>
                <w:b w:val="0"/>
                <w:sz w:val="18"/>
                <w:rFonts w:ascii="맑은 고딕" w:hAnsi="맑은 고딕" w:eastAsia="맑은 고딕" w:cs="맑은 고딕"/>
              </w:rPr>
              <w:t>를 포함한 개정을 예고 [25][26]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left w:val="single" w:sz="24" w:space="0" w:color="B0302E"/>
              <w:top w:val="single" w:sz="4" w:space="0" w:color="FDF3E7"/>
              <w:bottom w:val="single" w:sz="4" w:space="0" w:color="FDF3E7"/>
              <w:right w:val="single" w:sz="4" w:space="0" w:color="FDF3E7"/>
            </w:tcBorders>
            <w:shd w:val="clear" w:color="auto" w:fill="FDF3E7"/>
          </w:tcPr>
          <w:p>
            <w:pPr>
              <w:spacing w:before="120" w:after="120"/>
              <w:ind w:left="142"/>
            </w:pPr>
            <w:r>
              <w:rPr>
                <w:b/>
                <w:i w:val="0"/>
                <w:sz w:val="20"/>
                <w:rFonts w:ascii="맑은 고딕" w:hAnsi="맑은 고딕" w:eastAsia="맑은 고딕" w:cs="맑은 고딕"/>
              </w:rPr>
              <w:t>여기서 발표의 논지가 강화된다 — EU는 「요약을 공개하라」, 캘리포니아는 「출처·소유자·저작물 포함 여부를 12개 항목으로 공개하라」고 한다. 그런데 UltraFeedback을 끝까지 추적해야 그 답이 A-3이 아니라 C-2라는 걸 알 수 있다. 즉 추적 없이는 공시 자체가 부정확한 진술이 된다.</w:t>
            </w:r>
          </w:p>
        </w:tc>
      </w:tr>
    </w:tbl>
    <w:p>
      <w:pPr>
        <w:spacing w:after="40"/>
      </w:pPr>
    </w:p>
    <w:p>
      <w:pPr>
        <w:pStyle w:val="Heading2"/>
      </w:pPr>
      <w:r>
        <w:t>7-2. 실행 체크리스트</w:t>
      </w:r>
    </w:p>
    <w:p>
      <w:pPr>
        <w:spacing w:before="120" w:after="40"/>
      </w:pPr>
      <w:r>
        <w:rPr>
          <w:b/>
          <w:i w:val="0"/>
          <w:color w:val="1F3B73"/>
          <w:sz w:val="21"/>
          <w:rFonts w:ascii="맑은 고딕" w:hAnsi="맑은 고딕" w:eastAsia="맑은 고딕" w:cs="맑은 고딕"/>
        </w:rPr>
        <w:t>1. 라벨을 그대로 믿지 않는다</w:t>
      </w:r>
    </w:p>
    <w:p>
      <w:pPr>
        <w:spacing w:before="0" w:after="40"/>
        <w:ind w:left="283"/>
      </w:pPr>
      <w:r>
        <w:rPr>
          <w:b w:val="0"/>
          <w:i w:val="0"/>
          <w:sz w:val="19"/>
          <w:rFonts w:ascii="맑은 고딕" w:hAnsi="맑은 고딕" w:eastAsia="맑은 고딕" w:cs="맑은 고딕"/>
        </w:rPr>
        <w:t>MIT·Apache·CC-BY 같은 최상단 라벨과 실제 상속 리스크는 다를 수 있다. 근거는 LG 하나가 아니다 — DPI 감사에서 허깅페이스 라이선스의 66%가 오분류, 그것도 더 관대한 쪽으로.</w:t>
      </w:r>
    </w:p>
    <w:p>
      <w:pPr>
        <w:spacing w:before="120" w:after="40"/>
      </w:pPr>
      <w:r>
        <w:rPr>
          <w:b/>
          <w:i w:val="0"/>
          <w:color w:val="1F3B73"/>
          <w:sz w:val="21"/>
          <w:rFonts w:ascii="맑은 고딕" w:hAnsi="맑은 고딕" w:eastAsia="맑은 고딕" w:cs="맑은 고딕"/>
        </w:rPr>
        <w:t>2. 벤더 계약서에 학습데이터 고지 조항을 넣는다</w:t>
      </w:r>
    </w:p>
    <w:p>
      <w:pPr>
        <w:spacing w:before="0" w:after="40"/>
        <w:ind w:left="283"/>
      </w:pPr>
      <w:r>
        <w:rPr>
          <w:b w:val="0"/>
          <w:i w:val="0"/>
          <w:sz w:val="19"/>
          <w:rFonts w:ascii="맑은 고딕" w:hAnsi="맑은 고딕" w:eastAsia="맑은 고딕" w:cs="맑은 고딕"/>
        </w:rPr>
        <w:t>출처 · 라이선스 · 취득 방법 · 용도. 표준 언어로 SPDX 3.0 AI/Dataset Profile(36개 필드)을 지목하면 협상이 쉬워진다.</w:t>
      </w:r>
    </w:p>
    <w:p>
      <w:pPr>
        <w:spacing w:before="120" w:after="40"/>
      </w:pPr>
      <w:r>
        <w:rPr>
          <w:b/>
          <w:i w:val="0"/>
          <w:color w:val="1F3B73"/>
          <w:sz w:val="21"/>
          <w:rFonts w:ascii="맑은 고딕" w:hAnsi="맑은 고딕" w:eastAsia="맑은 고딕" w:cs="맑은 고딕"/>
        </w:rPr>
        <w:t>3. 규제 캘린더를 데드라인으로 관리한다</w:t>
      </w:r>
    </w:p>
    <w:p>
      <w:pPr>
        <w:spacing w:before="0" w:after="40"/>
        <w:ind w:left="283"/>
      </w:pPr>
      <w:r>
        <w:rPr>
          <w:b w:val="0"/>
          <w:i w:val="0"/>
          <w:sz w:val="19"/>
          <w:rFonts w:ascii="맑은 고딕" w:hAnsi="맑은 고딕" w:eastAsia="맑은 고딕" w:cs="맑은 고딕"/>
        </w:rPr>
        <w:t>한국 2026-01-22(유예 1년+), EU 집행 2026-08-02, 캘리포니아 2026-01-01. 오픈소스로 배포해도 EU 의무는 면제되지 않는다.</w:t>
      </w:r>
    </w:p>
    <w:p>
      <w:pPr>
        <w:spacing w:before="120" w:after="40"/>
      </w:pPr>
      <w:r>
        <w:rPr>
          <w:b/>
          <w:i w:val="0"/>
          <w:color w:val="1F3B73"/>
          <w:sz w:val="21"/>
          <w:rFonts w:ascii="맑은 고딕" w:hAnsi="맑은 고딕" w:eastAsia="맑은 고딕" w:cs="맑은 고딕"/>
        </w:rPr>
        <w:t>4. 「인기 = 안전」이 아님을 팀 규칙으로 못 박는다</w:t>
      </w:r>
    </w:p>
    <w:p>
      <w:pPr>
        <w:spacing w:before="0" w:after="40"/>
        <w:ind w:left="283"/>
      </w:pPr>
      <w:r>
        <w:rPr>
          <w:b w:val="0"/>
          <w:i w:val="0"/>
          <w:sz w:val="19"/>
          <w:rFonts w:ascii="맑은 고딕" w:hAnsi="맑은 고딕" w:eastAsia="맑은 고딕" w:cs="맑은 고딕"/>
        </w:rPr>
        <w:t>허깅페이스의 Most Downloaded / Most Liked는 벤치마크 성능 신호이지 법적 안전 신호가 아니다.</w:t>
      </w:r>
    </w:p>
    <w:p>
      <w:pPr>
        <w:spacing w:before="120" w:after="40"/>
      </w:pPr>
      <w:r>
        <w:rPr>
          <w:b/>
          <w:i w:val="0"/>
          <w:color w:val="1F3B73"/>
          <w:sz w:val="21"/>
          <w:rFonts w:ascii="맑은 고딕" w:hAnsi="맑은 고딕" w:eastAsia="맑은 고딕" w:cs="맑은 고딕"/>
        </w:rPr>
        <w:t>5. 취득 방법을 기록 항목으로 승격한다</w:t>
      </w:r>
    </w:p>
    <w:p>
      <w:pPr>
        <w:spacing w:before="0" w:after="40"/>
        <w:ind w:left="283"/>
      </w:pPr>
      <w:r>
        <w:rPr>
          <w:b w:val="0"/>
          <w:i w:val="0"/>
          <w:sz w:val="19"/>
          <w:rFonts w:ascii="맑은 고딕" w:hAnsi="맑은 고딕" w:eastAsia="맑은 고딕" w:cs="맑은 고딕"/>
        </w:rPr>
        <w:t>Bartz가 증명한 것은 「학습했는가」가 아니라 「어떻게 취득했는가가 배상액의 크기를 정한다」는 것. 데이터 수집 파이프라인에 「어디서, 어떤 권한으로 받았는가」를 남기는 로깅이 사후 방어의 유일한 증거다.</w:t>
      </w:r>
    </w:p>
    <w:p>
      <w:pPr>
        <w:spacing w:before="120" w:after="40"/>
      </w:pPr>
      <w:r>
        <w:rPr>
          <w:b/>
          <w:i w:val="0"/>
          <w:color w:val="1F3B73"/>
          <w:sz w:val="21"/>
          <w:rFonts w:ascii="맑은 고딕" w:hAnsi="맑은 고딕" w:eastAsia="맑은 고딕" w:cs="맑은 고딕"/>
        </w:rPr>
        <w:t>6. 추적은 자동화하되, 판단은 사람이 한다</w:t>
      </w:r>
    </w:p>
    <w:p>
      <w:pPr>
        <w:spacing w:before="0" w:after="40"/>
        <w:ind w:left="283"/>
      </w:pPr>
      <w:r>
        <w:rPr>
          <w:b w:val="0"/>
          <w:i w:val="0"/>
          <w:sz w:val="19"/>
          <w:rFonts w:ascii="맑은 고딕" w:hAnsi="맑은 고딕" w:eastAsia="맑은 고딕" w:cs="맑은 고딕"/>
        </w:rPr>
        <w:t>LG의 방식이 그대로 참고 모델이다 — 에이전트로 재귀 추적(수작업 대비 45배, 전문가 대비 26% 더 정확), 최종 의사결정권은 인간. 판단까지 자동화하면 그 판단 자체가 새로운 미기록 리스크가 된다.</w:t>
      </w:r>
    </w:p>
    <w:p>
      <w:pPr>
        <w:pStyle w:val="Heading2"/>
      </w:pPr>
      <w:r>
        <w:t>7-3. 무신사 세션(같은 날)과 이어 읽기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701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</w:r>
          </w:p>
        </w:tc>
        <w:tc>
          <w:tcPr>
            <w:tcW w:type="dxa" w:w="3969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무신사 (길기용)</w:t>
            </w:r>
          </w:p>
        </w:tc>
        <w:tc>
          <w:tcPr>
            <w:tcW w:type="dxa" w:w="3969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LG AI연구원 (조정원)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88" w:lineRule="auto"/>
            </w:pPr>
            <w:r>
              <w:rPr>
                <w:b/>
                <w:sz w:val="18"/>
                <w:rFonts w:ascii="맑은 고딕" w:hAnsi="맑은 고딕" w:eastAsia="맑은 고딕" w:cs="맑은 고딕"/>
              </w:rPr>
              <w:t>관점</w:t>
            </w:r>
          </w:p>
        </w:tc>
        <w:tc>
          <w:tcPr>
            <w:tcW w:type="dxa" w:w="3969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도입 판단 — 살까 / 만들까 / 안 할까</w:t>
            </w:r>
          </w:p>
        </w:tc>
        <w:tc>
          <w:tcPr>
            <w:tcW w:type="dxa" w:w="3969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공급망 신뢰 — 무엇으로 만들어졌는지 증명 가능한가</w:t>
            </w:r>
          </w:p>
        </w:tc>
      </w:tr>
      <w:tr>
        <w:tc>
          <w:tcPr>
            <w:tcW w:type="dxa" w:w="1701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sz w:val="18"/>
                <w:rFonts w:ascii="맑은 고딕" w:hAnsi="맑은 고딕" w:eastAsia="맑은 고딕" w:cs="맑은 고딕"/>
              </w:rPr>
              <w:t>언제 기록하나</w:t>
            </w:r>
          </w:p>
        </w:tc>
        <w:tc>
          <w:tcPr>
            <w:tcW w:type="dxa" w:w="3969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 xml:space="preserve">시작 전에 「멈출 기준」을 </w:t>
            </w:r>
            <w:r>
              <w:rPr>
                <w:b/>
                <w:sz w:val="18"/>
                <w:rFonts w:ascii="맑은 고딕" w:hAnsi="맑은 고딕" w:eastAsia="맑은 고딕" w:cs="맑은 고딕"/>
              </w:rPr>
              <w:t>계약서보다 먼저</w:t>
            </w:r>
          </w:p>
        </w:tc>
        <w:tc>
          <w:tcPr>
            <w:tcW w:type="dxa" w:w="3969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 xml:space="preserve">학습 전에 데이터 계보를 </w:t>
            </w:r>
            <w:r>
              <w:rPr>
                <w:b/>
                <w:sz w:val="18"/>
                <w:rFonts w:ascii="맑은 고딕" w:hAnsi="맑은 고딕" w:eastAsia="맑은 고딕" w:cs="맑은 고딕"/>
              </w:rPr>
              <w:t>문장이 아닌 그래프로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88" w:lineRule="auto"/>
            </w:pPr>
            <w:r>
              <w:rPr>
                <w:b/>
                <w:sz w:val="18"/>
                <w:rFonts w:ascii="맑은 고딕" w:hAnsi="맑은 고딕" w:eastAsia="맑은 고딕" w:cs="맑은 고딕"/>
              </w:rPr>
              <w:t>자동화한 것</w:t>
            </w:r>
          </w:p>
        </w:tc>
        <w:tc>
          <w:tcPr>
            <w:tcW w:type="dxa" w:w="3969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 xml:space="preserve">판단이 아니라 </w:t>
            </w:r>
            <w:r>
              <w:rPr>
                <w:b/>
                <w:sz w:val="18"/>
                <w:rFonts w:ascii="맑은 고딕" w:hAnsi="맑은 고딕" w:eastAsia="맑은 고딕" w:cs="맑은 고딕"/>
              </w:rPr>
              <w:t>검증 절차</w:t>
            </w:r>
            <w:r>
              <w:rPr>
                <w:b w:val="0"/>
                <w:sz w:val="18"/>
                <w:rFonts w:ascii="맑은 고딕" w:hAnsi="맑은 고딕" w:eastAsia="맑은 고딕" w:cs="맑은 고딕"/>
              </w:rPr>
              <w:t>(가드레일 지표)</w:t>
            </w:r>
          </w:p>
        </w:tc>
        <w:tc>
          <w:tcPr>
            <w:tcW w:type="dxa" w:w="3969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 xml:space="preserve">판단이 아니라 </w:t>
            </w:r>
            <w:r>
              <w:rPr>
                <w:b/>
                <w:sz w:val="18"/>
                <w:rFonts w:ascii="맑은 고딕" w:hAnsi="맑은 고딕" w:eastAsia="맑은 고딕" w:cs="맑은 고딕"/>
              </w:rPr>
              <w:t>추적</w:t>
            </w:r>
            <w:r>
              <w:rPr>
                <w:b w:val="0"/>
                <w:sz w:val="18"/>
                <w:rFonts w:ascii="맑은 고딕" w:hAnsi="맑은 고딕" w:eastAsia="맑은 고딕" w:cs="맑은 고딕"/>
              </w:rPr>
              <w:t>(에이전트)</w:t>
            </w:r>
          </w:p>
        </w:tc>
      </w:tr>
      <w:tr>
        <w:tc>
          <w:tcPr>
            <w:tcW w:type="dxa" w:w="1701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sz w:val="18"/>
                <w:rFonts w:ascii="맑은 고딕" w:hAnsi="맑은 고딕" w:eastAsia="맑은 고딕" w:cs="맑은 고딕"/>
              </w:rPr>
              <w:t>자동화하지 않은 것</w:t>
            </w:r>
          </w:p>
        </w:tc>
        <w:tc>
          <w:tcPr>
            <w:tcW w:type="dxa" w:w="3969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>환불·보상 판정, 분쟁 소지 확인 → 100% 사람</w:t>
            </w:r>
          </w:p>
        </w:tc>
        <w:tc>
          <w:tcPr>
            <w:tcW w:type="dxa" w:w="3969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sz w:val="18"/>
                <w:rFonts w:ascii="맑은 고딕" w:hAnsi="맑은 고딕" w:eastAsia="맑은 고딕" w:cs="맑은 고딕"/>
              </w:rPr>
              <w:t>최종 법적 판단</w:t>
            </w:r>
            <w:r>
              <w:rPr>
                <w:b w:val="0"/>
                <w:sz w:val="18"/>
                <w:rFonts w:ascii="맑은 고딕" w:hAnsi="맑은 고딕" w:eastAsia="맑은 고딕" w:cs="맑은 고딕"/>
              </w:rPr>
              <w:t xml:space="preserve"> → 100% 사람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88" w:lineRule="auto"/>
            </w:pPr>
            <w:r>
              <w:rPr>
                <w:b/>
                <w:sz w:val="18"/>
                <w:rFonts w:ascii="맑은 고딕" w:hAnsi="맑은 고딕" w:eastAsia="맑은 고딕" w:cs="맑은 고딕"/>
              </w:rPr>
              <w:t>공통점</w:t>
            </w:r>
          </w:p>
        </w:tc>
        <w:tc>
          <w:tcPr>
            <w:tcW w:type="dxa" w:w="7938"/>
            <w:gridSpan w:val="2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 xml:space="preserve">둘 다 </w:t>
            </w:r>
            <w:r>
              <w:rPr>
                <w:b/>
                <w:sz w:val="18"/>
                <w:rFonts w:ascii="맑은 고딕" w:hAnsi="맑은 고딕" w:eastAsia="맑은 고딕" w:cs="맑은 고딕"/>
              </w:rPr>
              <w:t>「기록되지 않은 것은 판단할 수 없다」</w:t>
            </w:r>
            <w:r>
              <w:rPr>
                <w:b w:val="0"/>
                <w:sz w:val="18"/>
                <w:rFonts w:ascii="맑은 고딕" w:hAnsi="맑은 고딕" w:eastAsia="맑은 고딕" w:cs="맑은 고딕"/>
              </w:rPr>
              <w:t xml:space="preserve"> — 사후 논쟁을 없애기 위해 사전에 기준·기록을 문서로 확정</w:t>
            </w:r>
          </w:p>
        </w:tc>
      </w:tr>
    </w:tbl>
    <w:p>
      <w:pPr>
        <w:spacing w:after="40"/>
      </w:pPr>
    </w:p>
    <w:p>
      <w:pPr>
        <w:spacing w:before="0" w:after="120"/>
      </w:pPr>
      <w:r>
        <w:rPr>
          <w:b w:val="0"/>
          <w:i w:val="0"/>
          <w:color w:val="5A606A"/>
          <w:sz w:val="19"/>
          <w:rFonts w:ascii="맑은 고딕" w:hAnsi="맑은 고딕" w:eastAsia="맑은 고딕" w:cs="맑은 고딕"/>
        </w:rPr>
        <w:t>→ 무신사가 외부 업체 계약에 건 조건 ③ 「어떤 LLM으로 바꾸더라도 돌아가는 구조」는 벤더 종속 방지책이지만, LG의 관점에서 읽으면 모델 계보를 우리가 통제하겠다는 선언이기도 하다. 반대로 LG가 말한 「구매 부서는 이제 SBOM을 요구하듯 데이터 출처를 요구한다」는, 무신사식 TCO 계산서에 새 비용 항목이 하나 추가된다는 뜻이다 — 벤더의 학습데이터 계보를 검증하는 비용.</w:t>
      </w:r>
    </w:p>
    <w:p>
      <w:r>
        <w:br w:type="page"/>
      </w:r>
    </w:p>
    <w:p>
      <w:pPr>
        <w:pStyle w:val="Heading1"/>
      </w:pPr>
      <w:r>
        <w:t>8. 인용할 때 주의할 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2551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항목</w:t>
            </w:r>
          </w:p>
        </w:tc>
        <w:tc>
          <w:tcPr>
            <w:tcW w:type="dxa" w:w="7087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주의</w:t>
            </w:r>
          </w:p>
        </w:tc>
      </w:tr>
      <w:tr>
        <w:tc>
          <w:tcPr>
            <w:tcW w:type="dxa" w:w="2551"/>
          </w:tcPr>
          <w:p>
            <w:pPr>
              <w:spacing w:before="40" w:after="40" w:line="288" w:lineRule="auto"/>
            </w:pPr>
            <w:r>
              <w:rPr>
                <w:b/>
                <w:sz w:val="18"/>
                <w:rFonts w:ascii="맑은 고딕" w:hAnsi="맑은 고딕" w:eastAsia="맑은 고딕" w:cs="맑은 고딕"/>
              </w:rPr>
              <w:t>GEMA v. Suno 독일 판결(2026)</w:t>
            </w:r>
          </w:p>
        </w:tc>
        <w:tc>
          <w:tcPr>
            <w:tcW w:type="dxa" w:w="7087"/>
          </w:tcPr>
          <w:p>
            <w:pPr>
              <w:spacing w:before="40" w:after="40" w:line="288" w:lineRule="auto"/>
            </w:pPr>
            <w:r>
              <w:rPr>
                <w:b/>
                <w:sz w:val="18"/>
                <w:rFonts w:ascii="맑은 고딕" w:hAnsi="맑은 고딕" w:eastAsia="맑은 고딕" w:cs="맑은 고딕"/>
              </w:rPr>
              <w:t>웹 검색으로 확인하지 못했다.</w:t>
            </w:r>
            <w:r>
              <w:rPr>
                <w:b w:val="0"/>
                <w:sz w:val="18"/>
                <w:rFonts w:ascii="맑은 고딕" w:hAnsi="맑은 고딕" w:eastAsia="맑은 고딕" w:cs="맑은 고딕"/>
              </w:rPr>
              <w:t xml:space="preserve"> 인용 시 「발표자 언급」 단서를 달 것</w:t>
            </w:r>
          </w:p>
        </w:tc>
      </w:tr>
      <w:tr>
        <w:tc>
          <w:tcPr>
            <w:tcW w:type="dxa" w:w="2551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sz w:val="18"/>
                <w:rFonts w:ascii="맑은 고딕" w:hAnsi="맑은 고딕" w:eastAsia="맑은 고딕" w:cs="맑은 고딕"/>
              </w:rPr>
              <w:t>Thomson Reuters v. ROSS</w:t>
            </w:r>
          </w:p>
        </w:tc>
        <w:tc>
          <w:tcPr>
            <w:tcW w:type="dxa" w:w="7087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 xml:space="preserve">1심은 원고 승이지만 </w:t>
            </w:r>
            <w:r>
              <w:rPr>
                <w:b/>
                <w:sz w:val="18"/>
                <w:rFonts w:ascii="맑은 고딕" w:hAnsi="맑은 고딕" w:eastAsia="맑은 고딕" w:cs="맑은 고딕"/>
              </w:rPr>
              <w:t>제3연방항소법원 항소 진행 중</w:t>
            </w:r>
            <w:r>
              <w:rPr>
                <w:b w:val="0"/>
                <w:sz w:val="18"/>
                <w:rFonts w:ascii="맑은 고딕" w:hAnsi="맑은 고딕" w:eastAsia="맑은 고딕" w:cs="맑은 고딕"/>
              </w:rPr>
              <w:t>(2026-07 구두변론). 「확정된 법리」로 인용하면 안 된다</w:t>
            </w:r>
          </w:p>
        </w:tc>
      </w:tr>
      <w:tr>
        <w:tc>
          <w:tcPr>
            <w:tcW w:type="dxa" w:w="2551"/>
          </w:tcPr>
          <w:p>
            <w:pPr>
              <w:spacing w:before="40" w:after="40" w:line="288" w:lineRule="auto"/>
            </w:pPr>
            <w:r>
              <w:rPr>
                <w:b/>
                <w:sz w:val="18"/>
                <w:rFonts w:ascii="맑은 고딕" w:hAnsi="맑은 고딕" w:eastAsia="맑은 고딕" w:cs="맑은 고딕"/>
              </w:rPr>
              <w:t>Getty Images v. Stability AI</w:t>
            </w:r>
          </w:p>
        </w:tc>
        <w:tc>
          <w:tcPr>
            <w:tcW w:type="dxa" w:w="7087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 xml:space="preserve">「AI사가 이겼다」보다 </w:t>
            </w:r>
            <w:r>
              <w:rPr>
                <w:b/>
                <w:sz w:val="18"/>
                <w:rFonts w:ascii="맑은 고딕" w:hAnsi="맑은 고딕" w:eastAsia="맑은 고딕" w:cs="맑은 고딕"/>
              </w:rPr>
              <w:t>「Getty가 두 개의 핵심 주장을 스스로 철회했고 남은 2차적 침해 주장도 기각됐다」</w:t>
            </w:r>
            <w:r>
              <w:rPr>
                <w:b w:val="0"/>
                <w:sz w:val="18"/>
                <w:rFonts w:ascii="맑은 고딕" w:hAnsi="맑은 고딕" w:eastAsia="맑은 고딕" w:cs="맑은 고딕"/>
              </w:rPr>
              <w:t>가 정확하다</w:t>
            </w:r>
          </w:p>
        </w:tc>
      </w:tr>
      <w:tr>
        <w:tc>
          <w:tcPr>
            <w:tcW w:type="dxa" w:w="2551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sz w:val="18"/>
                <w:rFonts w:ascii="맑은 고딕" w:hAnsi="맑은 고딕" w:eastAsia="맑은 고딕" w:cs="맑은 고딕"/>
              </w:rPr>
              <w:t>2,852 → 605 (21.2%)</w:t>
            </w:r>
          </w:p>
        </w:tc>
        <w:tc>
          <w:tcPr>
            <w:tcW w:type="dxa" w:w="7087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 xml:space="preserve">LG </w:t>
            </w:r>
            <w:r>
              <w:rPr>
                <w:b/>
                <w:sz w:val="18"/>
                <w:rFonts w:ascii="맑은 고딕" w:hAnsi="맑은 고딕" w:eastAsia="맑은 고딕" w:cs="맑은 고딕"/>
              </w:rPr>
              <w:t>자체 추적 결과</w:t>
            </w:r>
            <w:r>
              <w:rPr>
                <w:b w:val="0"/>
                <w:sz w:val="18"/>
                <w:rFonts w:ascii="맑은 고딕" w:hAnsi="맑은 고딕" w:eastAsia="맑은 고딕" w:cs="맑은 고딕"/>
              </w:rPr>
              <w:t>이며 방법론이 공개되지 않았다. 다만 Data Provenance Initiative의 독립 감사가 같은 방향을 가리킨다</w:t>
            </w:r>
          </w:p>
        </w:tc>
      </w:tr>
      <w:tr>
        <w:tc>
          <w:tcPr>
            <w:tcW w:type="dxa" w:w="2551"/>
          </w:tcPr>
          <w:p>
            <w:pPr>
              <w:spacing w:before="40" w:after="40" w:line="288" w:lineRule="auto"/>
            </w:pPr>
            <w:r>
              <w:rPr>
                <w:b/>
                <w:sz w:val="18"/>
                <w:rFonts w:ascii="맑은 고딕" w:hAnsi="맑은 고딕" w:eastAsia="맑은 고딕" w:cs="맑은 고딕"/>
              </w:rPr>
              <w:t>분쟁 130~150건 / 100건 이상 진행 중</w:t>
            </w:r>
          </w:p>
        </w:tc>
        <w:tc>
          <w:tcPr>
            <w:tcW w:type="dxa" w:w="7087"/>
          </w:tcPr>
          <w:p>
            <w:pPr>
              <w:spacing w:before="40" w:after="40" w:line="288" w:lineRule="auto"/>
            </w:pPr>
            <w:r>
              <w:rPr>
                <w:b/>
                <w:sz w:val="18"/>
                <w:rFonts w:ascii="맑은 고딕" w:hAnsi="맑은 고딕" w:eastAsia="맑은 고딕" w:cs="맑은 고딕"/>
              </w:rPr>
              <w:t>발표자 집계</w:t>
            </w:r>
            <w:r>
              <w:rPr>
                <w:b w:val="0"/>
                <w:sz w:val="18"/>
                <w:rFonts w:ascii="맑은 고딕" w:hAnsi="맑은 고딕" w:eastAsia="맑은 고딕" w:cs="맑은 고딕"/>
              </w:rPr>
              <w:t>. 공개 통계로 교차 확인하지 못했다</w:t>
            </w:r>
          </w:p>
        </w:tc>
      </w:tr>
      <w:tr>
        <w:tc>
          <w:tcPr>
            <w:tcW w:type="dxa" w:w="2551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sz w:val="18"/>
                <w:rFonts w:ascii="맑은 고딕" w:hAnsi="맑은 고딕" w:eastAsia="맑은 고딕" w:cs="맑은 고딕"/>
              </w:rPr>
              <w:t>리스크 등급 분포 (A-1~C-2)</w:t>
            </w:r>
          </w:p>
        </w:tc>
        <w:tc>
          <w:tcPr>
            <w:tcW w:type="dxa" w:w="7087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 xml:space="preserve">PDF 텍스트 추출 시 두 계열의 숫자가 뒤섞여 나온다. 인용하려면 </w:t>
            </w:r>
            <w:r>
              <w:rPr>
                <w:b/>
                <w:sz w:val="18"/>
                <w:rFonts w:ascii="맑은 고딕" w:hAnsi="맑은 고딕" w:eastAsia="맑은 고딕" w:cs="맑은 고딕"/>
              </w:rPr>
              <w:t>원본 슬라이드 p.22 이미지를 직접 확인</w:t>
            </w:r>
            <w:r>
              <w:rPr>
                <w:b w:val="0"/>
                <w:sz w:val="18"/>
                <w:rFonts w:ascii="맑은 고딕" w:hAnsi="맑은 고딕" w:eastAsia="맑은 고딕" w:cs="맑은 고딕"/>
              </w:rPr>
              <w:t>할 것</w:t>
            </w:r>
          </w:p>
        </w:tc>
      </w:tr>
      <w:tr>
        <w:tc>
          <w:tcPr>
            <w:tcW w:type="dxa" w:w="2551"/>
          </w:tcPr>
          <w:p>
            <w:pPr>
              <w:spacing w:before="40" w:after="40" w:line="288" w:lineRule="auto"/>
            </w:pPr>
            <w:r>
              <w:rPr>
                <w:b/>
                <w:sz w:val="18"/>
                <w:rFonts w:ascii="맑은 고딕" w:hAnsi="맑은 고딕" w:eastAsia="맑은 고딕" w:cs="맑은 고딕"/>
              </w:rPr>
              <w:t>평가 기준 개수</w:t>
            </w:r>
          </w:p>
        </w:tc>
        <w:tc>
          <w:tcPr>
            <w:tcW w:type="dxa" w:w="7087"/>
          </w:tcPr>
          <w:p>
            <w:pPr>
              <w:spacing w:before="40" w:after="40" w:line="288" w:lineRule="auto"/>
            </w:pPr>
            <w:r>
              <w:rPr>
                <w:b w:val="0"/>
                <w:sz w:val="18"/>
                <w:rFonts w:ascii="맑은 고딕" w:hAnsi="맑은 고딕" w:eastAsia="맑은 고딕" w:cs="맑은 고딕"/>
              </w:rPr>
              <w:t xml:space="preserve">발표 슬라이드는 UltraFeedback 스코어링에 </w:t>
            </w:r>
            <w:r>
              <w:rPr>
                <w:b/>
                <w:sz w:val="18"/>
                <w:rFonts w:ascii="맑은 고딕" w:hAnsi="맑은 고딕" w:eastAsia="맑은 고딕" w:cs="맑은 고딕"/>
              </w:rPr>
              <w:t>14개 기준</w:t>
            </w:r>
            <w:r>
              <w:rPr>
                <w:b w:val="0"/>
                <w:sz w:val="18"/>
                <w:rFonts w:ascii="맑은 고딕" w:hAnsi="맑은 고딕" w:eastAsia="맑은 고딕" w:cs="맑은 고딕"/>
              </w:rPr>
              <w:t xml:space="preserve">, 공개 자료는 데이터 컴플라이언스 </w:t>
            </w:r>
            <w:r>
              <w:rPr>
                <w:b/>
                <w:sz w:val="18"/>
                <w:rFonts w:ascii="맑은 고딕" w:hAnsi="맑은 고딕" w:eastAsia="맑은 고딕" w:cs="맑은 고딕"/>
              </w:rPr>
              <w:t>18개 기준</w:t>
            </w:r>
            <w:r>
              <w:rPr>
                <w:b w:val="0"/>
                <w:sz w:val="18"/>
                <w:rFonts w:ascii="맑은 고딕" w:hAnsi="맑은 고딕" w:eastAsia="맑은 고딕" w:cs="맑은 고딕"/>
              </w:rPr>
              <w:t>을 말한다. 서로 다른 시점/층위로 보이므로 인용 시 출처를 명시할 것</w:t>
            </w:r>
          </w:p>
        </w:tc>
      </w:tr>
    </w:tbl>
    <w:p>
      <w:pPr>
        <w:spacing w:after="40"/>
      </w:pPr>
    </w:p>
    <w:p>
      <w:pPr>
        <w:spacing w:before="80" w:after="160"/>
        <w:pBdr>
          <w:bottom w:val="single" w:sz="6" w:space="1" w:color="C6CCD8"/>
        </w:pBdr>
      </w:pPr>
    </w:p>
    <w:p>
      <w:pPr>
        <w:pStyle w:val="Heading2"/>
      </w:pPr>
      <w:r>
        <w:t>출처</w:t>
      </w:r>
    </w:p>
    <w:p>
      <w:pPr>
        <w:spacing w:before="0" w:after="40"/>
        <w:ind w:left="170"/>
      </w:pPr>
      <w:r>
        <w:rPr>
          <w:b w:val="0"/>
          <w:i w:val="0"/>
          <w:color w:val="5A606A"/>
          <w:sz w:val="17"/>
          <w:rFonts w:ascii="맑은 고딕" w:hAnsi="맑은 고딕" w:eastAsia="맑은 고딕" w:cs="맑은 고딕"/>
        </w:rPr>
        <w:t>[1] What to Know About the $1.5 Billion Bartz v. Anthropic Settlement — Copyright Alliance  https://copyrightalliance.org/participating-bartz-v-anthropic-settlement/</w:t>
      </w:r>
    </w:p>
    <w:p>
      <w:pPr>
        <w:spacing w:before="0" w:after="40"/>
        <w:ind w:left="170"/>
      </w:pPr>
      <w:r>
        <w:rPr>
          <w:b w:val="0"/>
          <w:i w:val="0"/>
          <w:color w:val="5A606A"/>
          <w:sz w:val="17"/>
          <w:rFonts w:ascii="맑은 고딕" w:hAnsi="맑은 고딕" w:eastAsia="맑은 고딕" w:cs="맑은 고딕"/>
        </w:rPr>
        <w:t>[2] Bartz v. Anthropic Settlement: What Authors Need to Know — The Authors Guild  https://authorsguild.org/advocacy/artificial-intelligence/what-authors-need-to-know-about-the-anthropic-settlement/</w:t>
      </w:r>
    </w:p>
    <w:p>
      <w:pPr>
        <w:spacing w:before="0" w:after="40"/>
        <w:ind w:left="170"/>
      </w:pPr>
      <w:r>
        <w:rPr>
          <w:b w:val="0"/>
          <w:i w:val="0"/>
          <w:color w:val="5A606A"/>
          <w:sz w:val="17"/>
          <w:rFonts w:ascii="맑은 고딕" w:hAnsi="맑은 고딕" w:eastAsia="맑은 고딕" w:cs="맑은 고딕"/>
        </w:rPr>
        <w:t>[3] The Bartz v. Anthropic Settlement — Kluwer Copyright Blog  https://legalblogs.wolterskluwer.com/copyright-blog/the-bartz-v-anthropic-settlement-understanding-americas-largest-copyright-settlement/</w:t>
      </w:r>
    </w:p>
    <w:p>
      <w:pPr>
        <w:spacing w:before="0" w:after="40"/>
        <w:ind w:left="170"/>
      </w:pPr>
      <w:r>
        <w:rPr>
          <w:b w:val="0"/>
          <w:i w:val="0"/>
          <w:color w:val="5A606A"/>
          <w:sz w:val="17"/>
          <w:rFonts w:ascii="맑은 고딕" w:hAnsi="맑은 고딕" w:eastAsia="맑은 고딕" w:cs="맑은 고딕"/>
        </w:rPr>
        <w:t>[4] GEMA vs. OpenAI: Landmark ruling — Heuking  https://www.heuking.de/en/news-events/newsletter-articles/detail/gema-vs-openai-landmark-ruling-on-ai-language-models-and-copyright-law.html</w:t>
      </w:r>
    </w:p>
    <w:p>
      <w:pPr>
        <w:spacing w:before="0" w:after="40"/>
        <w:ind w:left="170"/>
      </w:pPr>
      <w:r>
        <w:rPr>
          <w:b w:val="0"/>
          <w:i w:val="0"/>
          <w:color w:val="5A606A"/>
          <w:sz w:val="17"/>
          <w:rFonts w:ascii="맑은 고딕" w:hAnsi="맑은 고딕" w:eastAsia="맑은 고딕" w:cs="맑은 고딕"/>
        </w:rPr>
        <w:t>[5] Landmark ruling of the Munich Regional Court (GEMA v OpenAI) — Bird &amp; Bird  https://www.twobirds.com/en/insights/2025/landmark-ruling-of-the-munich-regional-court-(gema-v-openai)</w:t>
      </w:r>
    </w:p>
    <w:p>
      <w:pPr>
        <w:spacing w:before="0" w:after="40"/>
        <w:ind w:left="170"/>
      </w:pPr>
      <w:r>
        <w:rPr>
          <w:b w:val="0"/>
          <w:i w:val="0"/>
          <w:color w:val="5A606A"/>
          <w:sz w:val="17"/>
          <w:rFonts w:ascii="맑은 고딕" w:hAnsi="맑은 고딕" w:eastAsia="맑은 고딕" w:cs="맑은 고딕"/>
        </w:rPr>
        <w:t>[6] German court rules in favour of GEMA against OpenAI — EU IP Helpdesk  https://intellectual-property-helpdesk.ec.europa.eu/news-events/news/german-court-rules-favour-music-rights-management-organisation-against-openai-nyt-vs-openai-dispute-2025-11-14_en</w:t>
      </w:r>
    </w:p>
    <w:p>
      <w:pPr>
        <w:spacing w:before="0" w:after="40"/>
        <w:ind w:left="170"/>
      </w:pPr>
      <w:r>
        <w:rPr>
          <w:b w:val="0"/>
          <w:i w:val="0"/>
          <w:color w:val="5A606A"/>
          <w:sz w:val="17"/>
          <w:rFonts w:ascii="맑은 고딕" w:hAnsi="맑은 고딕" w:eastAsia="맑은 고딕" w:cs="맑은 고딕"/>
        </w:rPr>
        <w:t>[7] Stability AI defeats Getty Images copyright claims — Bird &amp; Bird  https://www.twobirds.com/en/insights/2025/uk/stability-ai-defeats-getty-images-copyright-claims-in-first-of-its-kind-dispute-before-the-high-cour</w:t>
      </w:r>
    </w:p>
    <w:p>
      <w:pPr>
        <w:spacing w:before="0" w:after="40"/>
        <w:ind w:left="170"/>
      </w:pPr>
      <w:r>
        <w:rPr>
          <w:b w:val="0"/>
          <w:i w:val="0"/>
          <w:color w:val="5A606A"/>
          <w:sz w:val="17"/>
          <w:rFonts w:ascii="맑은 고딕" w:hAnsi="맑은 고딕" w:eastAsia="맑은 고딕" w:cs="맑은 고딕"/>
        </w:rPr>
        <w:t>[8] Getty Images v. Stability AI: English High Court Rejects Secondary Copyright Claim — Latham &amp; Watkins  https://www.lw.com/en/insights/getty-images-v-stability-ai-english-high-court-rejects-secondary-copyright-claim</w:t>
      </w:r>
    </w:p>
    <w:p>
      <w:pPr>
        <w:spacing w:before="0" w:after="40"/>
        <w:ind w:left="170"/>
      </w:pPr>
      <w:r>
        <w:rPr>
          <w:b w:val="0"/>
          <w:i w:val="0"/>
          <w:color w:val="5A606A"/>
          <w:sz w:val="17"/>
          <w:rFonts w:ascii="맑은 고딕" w:hAnsi="맑은 고딕" w:eastAsia="맑은 고딕" w:cs="맑은 고딕"/>
        </w:rPr>
        <w:t>[9] Court Decides that Use of Copyrighted Works in AI Training Is Not Fair Use — Jenner &amp; Block  https://www.jenner.com/en/news-insights/client-alerts/court-decides-that-use-of-copyrighted-works-in-ai-training-is-not-fair-use-thomson-reuters-enterprise-centre-gmbh-v-ross-intelligence-inc</w:t>
      </w:r>
    </w:p>
    <w:p>
      <w:pPr>
        <w:spacing w:before="0" w:after="40"/>
        <w:ind w:left="170"/>
      </w:pPr>
      <w:r>
        <w:rPr>
          <w:b w:val="0"/>
          <w:i w:val="0"/>
          <w:color w:val="5A606A"/>
          <w:sz w:val="17"/>
          <w:rFonts w:ascii="맑은 고딕" w:hAnsi="맑은 고딕" w:eastAsia="맑은 고딕" w:cs="맑은 고딕"/>
        </w:rPr>
        <w:t>[10] Third Circuit Hears Oral Argument in Ross v. Reuters — Baker Botts  https://www.bakerbotts.com/thought-leadership/publications/2026/july/third-circuit-hears-oral-argument</w:t>
      </w:r>
    </w:p>
    <w:p>
      <w:pPr>
        <w:spacing w:before="0" w:after="40"/>
        <w:ind w:left="170"/>
      </w:pPr>
      <w:r>
        <w:rPr>
          <w:b w:val="0"/>
          <w:i w:val="0"/>
          <w:color w:val="5A606A"/>
          <w:sz w:val="17"/>
          <w:rFonts w:ascii="맑은 고딕" w:hAnsi="맑은 고딕" w:eastAsia="맑은 고딕" w:cs="맑은 고딕"/>
        </w:rPr>
        <w:t>[11] LG AI연구원, 7500억개 파라미터 'K-엑사원 2.0' 공개 — 천지일보  https://www.newscj.com/news/articleView.html?idxno=3421513</w:t>
      </w:r>
    </w:p>
    <w:p>
      <w:pPr>
        <w:spacing w:before="0" w:after="40"/>
        <w:ind w:left="170"/>
      </w:pPr>
      <w:r>
        <w:rPr>
          <w:b w:val="0"/>
          <w:i w:val="0"/>
          <w:color w:val="5A606A"/>
          <w:sz w:val="17"/>
          <w:rFonts w:ascii="맑은 고딕" w:hAnsi="맑은 고딕" w:eastAsia="맑은 고딕" w:cs="맑은 고딕"/>
        </w:rPr>
        <w:t>[12] The Data Provenance Initiative: A Large Scale Audit of Dataset Licensing &amp; Attribution in AI (arXiv:2310.16787)  https://arxiv.org/pdf/2310.16787</w:t>
      </w:r>
    </w:p>
    <w:p>
      <w:pPr>
        <w:spacing w:before="0" w:after="40"/>
        <w:ind w:left="170"/>
      </w:pPr>
      <w:r>
        <w:rPr>
          <w:b w:val="0"/>
          <w:i w:val="0"/>
          <w:color w:val="5A606A"/>
          <w:sz w:val="17"/>
          <w:rFonts w:ascii="맑은 고딕" w:hAnsi="맑은 고딕" w:eastAsia="맑은 고딕" w:cs="맑은 고딕"/>
        </w:rPr>
        <w:t>[13] A large-scale audit of dataset licensing and attribution in AI — Nature Machine Intelligence  https://www.nature.com/articles/s42256-024-00878-8</w:t>
      </w:r>
    </w:p>
    <w:p>
      <w:pPr>
        <w:spacing w:before="0" w:after="40"/>
        <w:ind w:left="170"/>
      </w:pPr>
      <w:r>
        <w:rPr>
          <w:b w:val="0"/>
          <w:i w:val="0"/>
          <w:color w:val="5A606A"/>
          <w:sz w:val="17"/>
          <w:rFonts w:ascii="맑은 고딕" w:hAnsi="맑은 고딕" w:eastAsia="맑은 고딕" w:cs="맑은 고딕"/>
        </w:rPr>
        <w:t>[14] Implementing AI Bill of Materials (AI BOM) with SPDX 3.0 — Linux Foundation Research  https://www.linuxfoundation.org/hubfs/LF%20Research/lfr_spdx_aibom_102524a.pdf</w:t>
      </w:r>
    </w:p>
    <w:p>
      <w:pPr>
        <w:spacing w:before="0" w:after="40"/>
        <w:ind w:left="170"/>
      </w:pPr>
      <w:r>
        <w:rPr>
          <w:b w:val="0"/>
          <w:i w:val="0"/>
          <w:color w:val="5A606A"/>
          <w:sz w:val="17"/>
          <w:rFonts w:ascii="맑은 고딕" w:hAnsi="맑은 고딕" w:eastAsia="맑은 고딕" w:cs="맑은 고딕"/>
        </w:rPr>
        <w:t>[15] Implementing AI BOM with SPDX 3.0 — 논문 개요 (alphaXiv 2504.16743)  https://www.alphaxiv.org/overview/2504.16743v1</w:t>
      </w:r>
    </w:p>
    <w:p>
      <w:pPr>
        <w:spacing w:before="0" w:after="40"/>
        <w:ind w:left="170"/>
      </w:pPr>
      <w:r>
        <w:rPr>
          <w:b w:val="0"/>
          <w:i w:val="0"/>
          <w:color w:val="5A606A"/>
          <w:sz w:val="17"/>
          <w:rFonts w:ascii="맑은 고딕" w:hAnsi="맑은 고딕" w:eastAsia="맑은 고딕" w:cs="맑은 고딕"/>
        </w:rPr>
        <w:t>[16] Implementing an AI BOM — SPDX  https://spdx.dev/implementing-an-ai-bom/</w:t>
      </w:r>
    </w:p>
    <w:p>
      <w:pPr>
        <w:spacing w:before="0" w:after="40"/>
        <w:ind w:left="170"/>
      </w:pPr>
      <w:r>
        <w:rPr>
          <w:b w:val="0"/>
          <w:i w:val="0"/>
          <w:color w:val="5A606A"/>
          <w:sz w:val="17"/>
          <w:rFonts w:ascii="맑은 고딕" w:hAnsi="맑은 고딕" w:eastAsia="맑은 고딕" w:cs="맑은 고딕"/>
        </w:rPr>
        <w:t>[17] AI 기본법 시행과 그 시사점 — 법률신문 / 법무법인 세종  https://www.lawtimes.co.kr/news/articleView.html?idxno=216500</w:t>
      </w:r>
    </w:p>
    <w:p>
      <w:pPr>
        <w:spacing w:before="0" w:after="40"/>
        <w:ind w:left="170"/>
      </w:pPr>
      <w:r>
        <w:rPr>
          <w:b w:val="0"/>
          <w:i w:val="0"/>
          <w:color w:val="5A606A"/>
          <w:sz w:val="17"/>
          <w:rFonts w:ascii="맑은 고딕" w:hAnsi="맑은 고딕" w:eastAsia="맑은 고딕" w:cs="맑은 고딕"/>
        </w:rPr>
        <w:t>[18] 인공지능 발전과 신뢰 기반 조성 등에 관한 기본법 — 국가법령정보센터  https://www.law.go.kr/lsInfoP.do?lsiSeq=268543</w:t>
      </w:r>
    </w:p>
    <w:p>
      <w:pPr>
        <w:spacing w:before="0" w:after="40"/>
        <w:ind w:left="170"/>
      </w:pPr>
      <w:r>
        <w:rPr>
          <w:b w:val="0"/>
          <w:i w:val="0"/>
          <w:color w:val="5A606A"/>
          <w:sz w:val="17"/>
          <w:rFonts w:ascii="맑은 고딕" w:hAnsi="맑은 고딕" w:eastAsia="맑은 고딕" w:cs="맑은 고딕"/>
        </w:rPr>
        <w:t>[19] European Commission Releases Mandatory Template for Public Disclosure of AI Training Data — WilmerHale  https://www.wilmerhale.com/en/insights/blogs/wilmerhale-privacy-and-cybersecurity-law/european-commission-releases-mandatory-template-for-public-disclosure-of-ai-training-data</w:t>
      </w:r>
    </w:p>
    <w:p>
      <w:pPr>
        <w:spacing w:before="0" w:after="40"/>
        <w:ind w:left="170"/>
      </w:pPr>
      <w:r>
        <w:rPr>
          <w:b w:val="0"/>
          <w:i w:val="0"/>
          <w:color w:val="5A606A"/>
          <w:sz w:val="17"/>
          <w:rFonts w:ascii="맑은 고딕" w:hAnsi="맑은 고딕" w:eastAsia="맑은 고딕" w:cs="맑은 고딕"/>
        </w:rPr>
        <w:t>[20] EU AI Act News: Rules on General-Purpose AI Start Applying — Mayer Brown  https://www.mayerbrown.com/en/insights/publications/2025/08/eu-ai-act-news-rules-on-general-purpose-ai-start-applying-guidelines-and-template-for-summary-of-training-data</w:t>
      </w:r>
    </w:p>
    <w:p>
      <w:pPr>
        <w:spacing w:before="0" w:after="40"/>
        <w:ind w:left="170"/>
      </w:pPr>
      <w:r>
        <w:rPr>
          <w:b w:val="0"/>
          <w:i w:val="0"/>
          <w:color w:val="5A606A"/>
          <w:sz w:val="17"/>
          <w:rFonts w:ascii="맑은 고딕" w:hAnsi="맑은 고딕" w:eastAsia="맑은 고딕" w:cs="맑은 고딕"/>
        </w:rPr>
        <w:t>[21] EU Commission Publishes Guidelines on General Purpose AI Obligations — Paul, Weiss  https://www.paulweiss.com/insights/client-memos/eu-commission-publishes-guidelines-on-general-purpose-ai-obligations-as-well-as-training-data-disclosure-template-further-clarity-as-the-countdown-to-enforcement-begins</w:t>
      </w:r>
    </w:p>
    <w:p>
      <w:pPr>
        <w:spacing w:before="0" w:after="40"/>
        <w:ind w:left="170"/>
      </w:pPr>
      <w:r>
        <w:rPr>
          <w:b w:val="0"/>
          <w:i w:val="0"/>
          <w:color w:val="5A606A"/>
          <w:sz w:val="17"/>
          <w:rFonts w:ascii="맑은 고딕" w:hAnsi="맑은 고딕" w:eastAsia="맑은 고딕" w:cs="맑은 고딕"/>
        </w:rPr>
        <w:t>[22] California's AB 2013 Takes Effect — Goodwin  https://www.goodwinlaw.com/en/insights/publications/2026/01/alerts-otherindustries-californias-ab-2013-takes-effect</w:t>
      </w:r>
    </w:p>
    <w:p>
      <w:pPr>
        <w:spacing w:before="0" w:after="40"/>
        <w:ind w:left="170"/>
      </w:pPr>
      <w:r>
        <w:rPr>
          <w:b w:val="0"/>
          <w:i w:val="0"/>
          <w:color w:val="5A606A"/>
          <w:sz w:val="17"/>
          <w:rFonts w:ascii="맑은 고딕" w:hAnsi="맑은 고딕" w:eastAsia="맑은 고딕" w:cs="맑은 고딕"/>
        </w:rPr>
        <w:t>[23] Generative AI Training Data Transparency Act (AB 2013) — California Legislative Information  https://leginfo.legislature.ca.gov/faces/billTextClient.xhtml?bill_id=202320240AB2013</w:t>
      </w:r>
    </w:p>
    <w:p>
      <w:pPr>
        <w:spacing w:before="0" w:after="40"/>
        <w:ind w:left="170"/>
      </w:pPr>
      <w:r>
        <w:rPr>
          <w:b w:val="0"/>
          <w:i w:val="0"/>
          <w:color w:val="5A606A"/>
          <w:sz w:val="17"/>
          <w:rFonts w:ascii="맑은 고딕" w:hAnsi="맑은 고딕" w:eastAsia="맑은 고딕" w:cs="맑은 고딕"/>
        </w:rPr>
        <w:t>[24] California's AB 2013 Requires Generative AI Data Disclosure by January 1, 2026 — Crowell &amp; Moring  https://www.crowell.com/en/insights/client-alerts/californias-ab-2013-requires-generative-ai-data-disclosure-by-january-1-2026</w:t>
      </w:r>
    </w:p>
    <w:p>
      <w:pPr>
        <w:spacing w:before="0" w:after="40"/>
        <w:ind w:left="170"/>
      </w:pPr>
      <w:r>
        <w:rPr>
          <w:b w:val="0"/>
          <w:i w:val="0"/>
          <w:color w:val="5A606A"/>
          <w:sz w:val="17"/>
          <w:rFonts w:ascii="맑은 고딕" w:hAnsi="맑은 고딕" w:eastAsia="맑은 고딕" w:cs="맑은 고딕"/>
        </w:rPr>
        <w:t>[25] AI 학습데이터 저작권 침해와 저작권법 상의 TDM 조항 도입 논의 — NEPLA  https://www.nepla.ai/</w:t>
      </w:r>
    </w:p>
    <w:p>
      <w:pPr>
        <w:spacing w:before="0" w:after="40"/>
        <w:ind w:left="170"/>
      </w:pPr>
      <w:r>
        <w:rPr>
          <w:b w:val="0"/>
          <w:i w:val="0"/>
          <w:color w:val="5A606A"/>
          <w:sz w:val="17"/>
          <w:rFonts w:ascii="맑은 고딕" w:hAnsi="맑은 고딕" w:eastAsia="맑은 고딕" w:cs="맑은 고딕"/>
        </w:rPr>
        <w:t>[26] 저작권법상 텍스트·데이터 마이닝(TDM) 면책규정 도입 방향의 검토 — 류시원, 법무부  https://www.moj.go.kr/bbs/moj/166/450511/download.do</w:t>
      </w:r>
    </w:p>
    <w:p>
      <w:pPr>
        <w:spacing w:before="0" w:after="40"/>
        <w:ind w:left="170"/>
      </w:pPr>
      <w:r>
        <w:rPr>
          <w:b w:val="0"/>
          <w:i w:val="0"/>
          <w:color w:val="5A606A"/>
          <w:sz w:val="17"/>
          <w:rFonts w:ascii="맑은 고딕" w:hAnsi="맑은 고딕" w:eastAsia="맑은 고딕" w:cs="맑은 고딕"/>
        </w:rPr>
        <w:t>[27] AI 거버넌스의 패러다임 변화와 LG AI연구원의 선도적 역할 — 공개SW포털  https://www.oss.kr/pages/11/4418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A606A"/>
        <w:sz w:val="16"/>
        <w:rFonts w:ascii="맑은 고딕" w:hAnsi="맑은 고딕" w:eastAsia="맑은 고딕" w:cs="맑은 고딕"/>
      </w:rPr>
      <w:t xml:space="preserve">AI Infrastructure &amp; Data 2026 · LG AI연구원 세션 정리  |  </w:t>
    </w:r>
    <w:r>
      <w:rPr>
        <w:color w:val="5A606A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24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2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F3B7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2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F3B7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2C2C2C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