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5A606A"/>
          <w:sz w:val="18"/>
          <w:rFonts w:ascii="맑은 고딕" w:hAnsi="맑은 고딕" w:eastAsia="맑은 고딕" w:cs="맑은 고딕"/>
        </w:rPr>
        <w:t>AI Infrastructure &amp; Data 2026 · 세션 정리 패키지</w:t>
      </w:r>
    </w:p>
    <w:p>
      <w:pPr>
        <w:spacing w:before="0" w:after="80"/>
      </w:pPr>
      <w:r>
        <w:rPr>
          <w:b/>
          <w:i w:val="0"/>
          <w:color w:val="1F3B73"/>
          <w:sz w:val="44"/>
          <w:rFonts w:ascii="맑은 고딕" w:hAnsi="맑은 고딕" w:eastAsia="맑은 고딕" w:cs="맑은 고딕"/>
        </w:rPr>
        <w:t>세션 3건 교차 정리</w:t>
      </w:r>
    </w:p>
    <w:p>
      <w:pPr>
        <w:spacing w:before="0" w:after="20"/>
      </w:pPr>
      <w:r>
        <w:rPr>
          <w:b w:val="0"/>
          <w:i w:val="0"/>
          <w:color w:val="5A606A"/>
          <w:sz w:val="23"/>
          <w:rFonts w:ascii="맑은 고딕" w:hAnsi="맑은 고딕" w:eastAsia="맑은 고딕" w:cs="맑은 고딕"/>
        </w:rPr>
        <w:t>도입 판단 · 공급망 신뢰 · 런타임 통제 — 세 세션을 하나로 읽기</w:t>
      </w:r>
    </w:p>
    <w:p>
      <w:pPr>
        <w:spacing w:before="0" w:after="200"/>
      </w:pPr>
      <w:r>
        <w:rPr>
          <w:b w:val="0"/>
          <w:i w:val="0"/>
          <w:color w:val="5A606A"/>
          <w:sz w:val="23"/>
          <w:rFonts w:ascii="맑은 고딕" w:hAnsi="맑은 고딕" w:eastAsia="맑은 고딕" w:cs="맑은 고딕"/>
        </w:rPr>
        <w:t>먼저 읽는 문서 (각 세션 상세는 개별 문서 참조)</w:t>
      </w:r>
    </w:p>
    <w:p>
      <w:pPr>
        <w:spacing w:before="80" w:after="160"/>
        <w:pBdr>
          <w:bottom w:val="single" w:sz="6" w:space="1" w:color="C6CCD8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행사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AI Infrastructure &amp; Data 2026 (CIO Korea / ITWORLD)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일시·장소</w:t>
            </w:r>
          </w:p>
        </w:tc>
        <w:tc>
          <w:tcPr>
            <w:tcW w:type="dxa" w:w="782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2026년 9월 2일(수) · 서울 드래곤시티 그랜드볼룸 한라(3F)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정리 기준일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2026-09-07 (웹 리서치 보강 포함)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구성</w:t>
            </w:r>
          </w:p>
        </w:tc>
        <w:tc>
          <w:tcPr>
            <w:tcW w:type="dxa" w:w="782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이 문서 + 세션별 상세 문서 3건 + 원본 발표자료 PDF 3건</w:t>
            </w:r>
          </w:p>
        </w:tc>
      </w:tr>
    </w:tbl>
    <w:p>
      <w:pPr>
        <w:spacing w:after="40"/>
      </w:pPr>
    </w:p>
    <w:p>
      <w:pPr>
        <w:pStyle w:val="Heading1"/>
      </w:pPr>
      <w:r>
        <w:t>문서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56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#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세션</w:t>
            </w:r>
          </w:p>
        </w:tc>
        <w:tc>
          <w:tcPr>
            <w:tcW w:type="dxa" w:w="311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발표</w:t>
            </w:r>
          </w:p>
        </w:tc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상세 문서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유행이 아니라 데이터로 — 무신사의 AI 기술 도입 전략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길기용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· Director, Core AI &amp; CX Engineering, 무신사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01_무신사_AI도입판단기준_세션정리</w:t>
            </w:r>
          </w:p>
        </w:tc>
      </w:tr>
      <w:tr>
        <w:tc>
          <w:tcPr>
            <w:tcW w:type="dxa" w:w="56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</w:t>
            </w:r>
          </w:p>
        </w:tc>
        <w:tc>
          <w:tcPr>
            <w:tcW w:type="dxa" w:w="34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AI 학습데이터의 국내외 분쟁 동향과 추적가능 컴플라이언스</w:t>
            </w:r>
          </w:p>
        </w:tc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조정원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· Legal &amp; Compliance Team Lead, LG AI연구원</w:t>
            </w:r>
          </w:p>
        </w:tc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02_LG-AI연구원_AI-BOM_세션정리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Securing AI starts with Identity (Expert Advice 4)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Dean Clarke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· RVP Sales (APJ), SailPoint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03_SailPoint_AI에이전트-NHI거버넌스_세션정리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각 상세 문서는 세 층으로 나뉘어 있다 — ① 발표 내용 정리 ② 외부 근거로 붙인 맥락·팩트체크 ③ 인용 시 주의사항. SailPoint 문서에는 벤더 미팅 질문지가 추가로 들어 있다.</w:t>
      </w:r>
    </w:p>
    <w:p>
      <w:pPr>
        <w:spacing w:before="80" w:after="160"/>
        <w:pBdr>
          <w:bottom w:val="single" w:sz="6" w:space="1" w:color="C6CCD8"/>
        </w:pBdr>
      </w:pPr>
    </w:p>
    <w:p>
      <w:pPr>
        <w:pStyle w:val="Heading1"/>
      </w:pPr>
      <w:r>
        <w:t>세 세션을 한 문장으로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3"/>
                <w:rFonts w:ascii="맑은 고딕" w:hAnsi="맑은 고딕" w:eastAsia="맑은 고딕" w:cs="맑은 고딕"/>
              </w:rPr>
              <w:t>무신사는 「무엇을 만들지 말지 결정하는 법」을, LG AI연구원은 「만든 것이 무엇으로 만들어졌는지 증명하는 법」을, SailPoint는 「만든 것이 무엇에 접근하는지 통제하는 법」을 말했다.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3"/>
                <w:rFonts w:ascii="맑은 고딕" w:hAnsi="맑은 고딕" w:eastAsia="맑은 고딕" w:cs="맑은 고딕"/>
              </w:rPr>
              <w:t>셋 다 같은 전제 위에 서 있다 — 기록되지 않은 것은 판단할 수 없다.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세 세션은 AI 도입의 서로 다른 시점을 커버한다: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시점</w:t>
            </w:r>
          </w:p>
        </w:tc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세션</w:t>
            </w:r>
          </w:p>
        </w:tc>
        <w:tc>
          <w:tcPr>
            <w:tcW w:type="dxa" w:w="5953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던지는 질문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도입 전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무신사</w:t>
            </w:r>
          </w:p>
        </w:tc>
        <w:tc>
          <w:tcPr>
            <w:tcW w:type="dxa" w:w="5953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이걸 할 가치가 있는가? 못 미치면 언제 멈추는가?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학습 시점</w:t>
            </w:r>
          </w:p>
        </w:tc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LG AI연구원</w:t>
            </w:r>
          </w:p>
        </w:tc>
        <w:tc>
          <w:tcPr>
            <w:tcW w:type="dxa" w:w="5953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 모델은 무엇으로 만들어졌는가? 증명할 수 있는가?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운영 시점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SailPoint</w:t>
            </w:r>
          </w:p>
        </w:tc>
        <w:tc>
          <w:tcPr>
            <w:tcW w:type="dxa" w:w="5953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 에이전트는 무엇에 접근하는가? 누가 오너인가? 사고 시 끌 수 있는가?</w:t>
            </w:r>
          </w:p>
        </w:tc>
      </w:tr>
    </w:tbl>
    <w:p>
      <w:pPr>
        <w:spacing w:after="40"/>
      </w:pPr>
    </w:p>
    <w:p>
      <w:pPr>
        <w:pStyle w:val="Heading1"/>
      </w:pPr>
      <w:r>
        <w:t>교차 정리 — 무신사 × LG AI연구원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</w:r>
          </w:p>
        </w:tc>
        <w:tc>
          <w:tcPr>
            <w:tcW w:type="dxa" w:w="39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무신사 (길기용)</w:t>
            </w:r>
          </w:p>
        </w:tc>
        <w:tc>
          <w:tcPr>
            <w:tcW w:type="dxa" w:w="39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LG AI연구원 (조정원)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관점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도입 판단 — 살까 / 만들까 / 안 할까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공급망 신뢰 — 무엇으로 만들어졌는지 증명 가능한가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핵심 주장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「일관된 것은 결론이 아니라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기준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입니다」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「신뢰는 언제나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'보이는가'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의 문제였습니다」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언제 기록하나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시작 전에 '멈출 기준'을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계약서보다 먼저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학습 전에 데이터 계보를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문장이 아닌 그래프로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적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하이프, 매몰비용, 「다들 하니까」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라벨, 「오픈이니까 괜찮겠지」, 재배포 체인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자동화한 것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판단이 아니라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검증 절차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(가드레일 지표)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판단이 아니라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추적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(에이전트, 수작업 대비 45배)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자동화하지 않은 것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환불·보상 판정, 분쟁 소지 확인 → 100% 사람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최종 법적 판단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→ 100% 사람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핵심 수치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AI 활용 가능 문의 영역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10%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, 상담 인입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30% 감소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「상업적 이용 가능」 라벨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2,852개 → 실제 605개(21.2%)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경고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「AI 성능이 아니라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AI가 필요한 문제의 크기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를 재라」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「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결함은 최종 데이터셋이 아니라 아무도 안 보는 출발점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에 있다」</w:t>
            </w:r>
          </w:p>
        </w:tc>
      </w:tr>
    </w:tbl>
    <w:p>
      <w:pPr>
        <w:spacing w:after="40"/>
      </w:pPr>
    </w:p>
    <w:p>
      <w:pPr>
        <w:pStyle w:val="Heading2"/>
      </w:pPr>
      <w:r>
        <w:t>SailPoint 세션이 앞의 두 세션에 더하는 것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무신사의 AI Chat Agent와 Visual AI는 운영 단계에 들어간 에이전트다. SailPoint 세션은 그 다음 질문을 던진다 — </w:t>
      </w:r>
      <w:r>
        <w:rPr>
          <w:b/>
          <w:i w:val="0"/>
          <w:sz w:val="20"/>
          <w:rFonts w:ascii="맑은 고딕" w:hAnsi="맑은 고딕" w:eastAsia="맑은 고딕" w:cs="맑은 고딕"/>
        </w:rPr>
        <w:t>그 에이전트들은 어떤 NHI로 무엇에 접근하고 있고, 오너는 누구이며, 사고가 나면 몇 시간 안에 끌 수 있는가.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무신사의 「AI에게 맡기지 않은 영역」(환불·보상 판정, 분쟁 소지 확인)은 </w:t>
      </w:r>
      <w:r>
        <w:rPr>
          <w:b/>
          <w:i w:val="0"/>
          <w:sz w:val="20"/>
          <w:rFonts w:ascii="맑은 고딕" w:hAnsi="맑은 고딕" w:eastAsia="맑은 고딕" w:cs="맑은 고딕"/>
        </w:rPr>
        <w:t>정책 선언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이다. SailPoint의 주장은 그 선언을 </w:t>
      </w:r>
      <w:r>
        <w:rPr>
          <w:b/>
          <w:i w:val="0"/>
          <w:sz w:val="20"/>
          <w:rFonts w:ascii="맑은 고딕" w:hAnsi="맑은 고딕" w:eastAsia="맑은 고딕" w:cs="맑은 고딕"/>
        </w:rPr>
        <w:t>접근통제로 강제</w:t>
      </w:r>
      <w:r>
        <w:rPr>
          <w:b w:val="0"/>
          <w:i w:val="0"/>
          <w:sz w:val="20"/>
          <w:rFonts w:ascii="맑은 고딕" w:hAnsi="맑은 고딕" w:eastAsia="맑은 고딕" w:cs="맑은 고딕"/>
        </w:rPr>
        <w:t>해야 실효가 있다는 것 — JIT·ZSP·IBAC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LG의 AI-BOM이 </w:t>
      </w:r>
      <w:r>
        <w:rPr>
          <w:b/>
          <w:i w:val="0"/>
          <w:sz w:val="20"/>
          <w:rFonts w:ascii="맑은 고딕" w:hAnsi="맑은 고딕" w:eastAsia="맑은 고딕" w:cs="맑은 고딕"/>
        </w:rPr>
        <w:t>학습 데이터의 계보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를 추적한다면, SailPoint의 Identity Graph는 </w:t>
      </w:r>
      <w:r>
        <w:rPr>
          <w:b/>
          <w:i w:val="0"/>
          <w:sz w:val="20"/>
          <w:rFonts w:ascii="맑은 고딕" w:hAnsi="맑은 고딕" w:eastAsia="맑은 고딕" w:cs="맑은 고딕"/>
        </w:rPr>
        <w:t>런타임 접근의 계보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(사람 → 에이전트 → NHI → 크리덴셜)를 추적한다. </w:t>
      </w:r>
      <w:r>
        <w:rPr>
          <w:b/>
          <w:i w:val="0"/>
          <w:sz w:val="20"/>
          <w:rFonts w:ascii="맑은 고딕" w:hAnsi="맑은 고딕" w:eastAsia="맑은 고딕" w:cs="맑은 고딕"/>
        </w:rPr>
        <w:t>같은 발상을 다른 축에 적용한 것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무신사가 외부 업체 계약에 건 조건 ③ 「어떤 LLM으로 바꾸더라도 돌아가는 구조」는 벤더 종속 방지책이지만, LG의 관점에서는 </w:t>
      </w:r>
      <w:r>
        <w:rPr>
          <w:b/>
          <w:i w:val="0"/>
          <w:sz w:val="20"/>
          <w:rFonts w:ascii="맑은 고딕" w:hAnsi="맑은 고딕" w:eastAsia="맑은 고딕" w:cs="맑은 고딕"/>
        </w:rPr>
        <w:t>모델 계보를 우리가 통제하겠다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는 선언이기도 하다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반대로 LG의 「구매 부서는 이제 SBOM을 요구하듯 데이터 출처를 요구한다」는, 무신사식 TCO 계산서에 </w:t>
      </w:r>
      <w:r>
        <w:rPr>
          <w:b/>
          <w:i w:val="0"/>
          <w:sz w:val="20"/>
          <w:rFonts w:ascii="맑은 고딕" w:hAnsi="맑은 고딕" w:eastAsia="맑은 고딕" w:cs="맑은 고딕"/>
        </w:rPr>
        <w:t>새 비용 항목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이 하나 추가된다는 뜻이다 — 벤더의 학습데이터 계보를 검증하는 비용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셋을 합치면 하나의 문장이 된다 — 무엇을 만들지 정하고(무신사), 무엇으로 만들었는지 기록하고(LG), 무엇에 접근하는지 통제한다(SailPoint).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팀에서 바로 쓸 체크리스트 (세 세션 종합)</w:t>
      </w:r>
    </w:p>
    <w:p>
      <w:pPr>
        <w:pStyle w:val="Heading2"/>
      </w:pPr>
      <w:r>
        <w:t>A. AI 과제를 시작하기 전 (무신사)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가드레일 5종을 계약 전에 문서로 확정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에스컬레이션율 / 이탈률 / 구축비 / 건당 운영비 / 응답 지연 SLA(P50·P95·P99). 숫자를 구체적으로 (무신사: 「5초 이내」, 「Pass율 80%」)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비용은 도입가가 아니라 TCO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구축·인프라·데이터 관리·커스터마이징·품질관리/유지보수 + 토큰 비용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매몰비용 규칙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MVP 단계에서만 쓰는 기능은 구축비를 </w:t>
      </w:r>
      <w:r>
        <w:rPr>
          <w:b/>
          <w:i w:val="0"/>
          <w:sz w:val="20"/>
          <w:rFonts w:ascii="맑은 고딕" w:hAnsi="맑은 고딕" w:eastAsia="맑은 고딕" w:cs="맑은 고딕"/>
        </w:rPr>
        <w:t>1.5배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로 계산해 합산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「AI 성능」이 아니라 「AI가 필요한 문제의 크기」를 먼저 측정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무신사는 문의를 60/30/10으로 분해해 적용 가능 영역이 10%뿐임을 발견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라이선스 구매 전 프로토타입 → 10% 사용자에게 배포</w:t>
      </w:r>
      <w:r>
        <w:rPr>
          <w:b w:val="0"/>
          <w:i w:val="0"/>
          <w:sz w:val="20"/>
          <w:rFonts w:ascii="맑은 고딕" w:hAnsi="맑은 고딕" w:eastAsia="맑은 고딕" w:cs="맑은 고딕"/>
        </w:rPr>
        <w:t>해 가설부터 깬다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중단을 곁가지가 아니라 같은 크기의 갈래로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그린다</w:t>
      </w:r>
    </w:p>
    <w:p>
      <w:pPr>
        <w:pStyle w:val="Heading2"/>
      </w:pPr>
      <w:r>
        <w:t>B. 외부 업체·솔루션 계약서에 (무신사 + LG)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① </w:t>
      </w:r>
      <w:r>
        <w:rPr>
          <w:b/>
          <w:i w:val="0"/>
          <w:sz w:val="20"/>
          <w:rFonts w:ascii="맑은 고딕" w:hAnsi="맑은 고딕" w:eastAsia="맑은 고딕" w:cs="맑은 고딕"/>
        </w:rPr>
        <w:t>우리 클라우드에 직접 구축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② </w:t>
      </w:r>
      <w:r>
        <w:rPr>
          <w:b/>
          <w:i w:val="0"/>
          <w:sz w:val="20"/>
          <w:rFonts w:ascii="맑은 고딕" w:hAnsi="맑은 고딕" w:eastAsia="맑은 고딕" w:cs="맑은 고딕"/>
        </w:rPr>
        <w:t>릴리즈 후 인수인계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③ </w:t>
      </w:r>
      <w:r>
        <w:rPr>
          <w:b/>
          <w:i w:val="0"/>
          <w:sz w:val="20"/>
          <w:rFonts w:ascii="맑은 고딕" w:hAnsi="맑은 고딕" w:eastAsia="맑은 고딕" w:cs="맑은 고딕"/>
        </w:rPr>
        <w:t>LLM 교체 가능 구조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OOTB 최대 활용, 커스터마이징은 내부 개발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무신사의 3개월 릴리즈와 비용 1/5을 만든 실제 원인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학습데이터 출처·라이선스·취득 방법 고지 조항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표준 언어로 </w:t>
      </w:r>
      <w:r>
        <w:rPr>
          <w:b/>
          <w:i w:val="0"/>
          <w:sz w:val="20"/>
          <w:rFonts w:ascii="맑은 고딕" w:hAnsi="맑은 고딕" w:eastAsia="맑은 고딕" w:cs="맑은 고딕"/>
        </w:rPr>
        <w:t>SPDX 3.0 AI/Dataset Profile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지목</w:t>
      </w:r>
    </w:p>
    <w:p>
      <w:pPr>
        <w:pStyle w:val="Heading2"/>
      </w:pPr>
      <w:r>
        <w:t>C. 모델·데이터셋을 들여올 때 (LG)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라벨을 그대로 믿지 않는다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허깅페이스 라이선스의 </w:t>
      </w:r>
      <w:r>
        <w:rPr>
          <w:b/>
          <w:i w:val="0"/>
          <w:sz w:val="20"/>
          <w:rFonts w:ascii="맑은 고딕" w:hAnsi="맑은 고딕" w:eastAsia="맑은 고딕" w:cs="맑은 고딕"/>
        </w:rPr>
        <w:t>66%가 실제와 다른 카테고리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, 그것도 </w:t>
      </w:r>
      <w:r>
        <w:rPr>
          <w:b/>
          <w:i w:val="0"/>
          <w:sz w:val="20"/>
          <w:rFonts w:ascii="맑은 고딕" w:hAnsi="맑은 고딕" w:eastAsia="맑은 고딕" w:cs="맑은 고딕"/>
        </w:rPr>
        <w:t>더 관대한 쪽으로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(Data Provenance Initiative)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인기 ≠ 안전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Most Downloaded / Most Liked는 벤치마크 신호이지 법적 신호가 아니다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취득 방법을 로그로 남긴다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Bartz가 증명한 것은 「학습했는가」가 아니라 </w:t>
      </w:r>
      <w:r>
        <w:rPr>
          <w:b/>
          <w:i w:val="0"/>
          <w:sz w:val="20"/>
          <w:rFonts w:ascii="맑은 고딕" w:hAnsi="맑은 고딕" w:eastAsia="맑은 고딕" w:cs="맑은 고딕"/>
        </w:rPr>
        <w:t>「어떻게 취득했는가가 배상액을 정한다」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추적은 자동화, 판단은 사람이</w:t>
      </w:r>
    </w:p>
    <w:p>
      <w:pPr>
        <w:pStyle w:val="Heading2"/>
      </w:pPr>
      <w:r>
        <w:t>D. 규제 데드라인 (LG)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한국 AI 기본법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2026-01-22 시행 (규제 적용은 최소 1년 이상 유예, 계도 중심)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EU AI Act 제53조(1)(d)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학습 콘텐츠 요약 공개 의무 2025-08-02 발효, </w:t>
      </w:r>
      <w:r>
        <w:rPr>
          <w:b/>
          <w:i w:val="0"/>
          <w:sz w:val="20"/>
          <w:rFonts w:ascii="맑은 고딕" w:hAnsi="맑은 고딕" w:eastAsia="맑은 고딕" w:cs="맑은 고딕"/>
        </w:rPr>
        <w:t>집행 2026-08-02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, 기존 모델 2027-08-02까지. 위반 시 최대 </w:t>
      </w:r>
      <w:r>
        <w:rPr>
          <w:b/>
          <w:i w:val="0"/>
          <w:sz w:val="20"/>
          <w:rFonts w:ascii="맑은 고딕" w:hAnsi="맑은 고딕" w:eastAsia="맑은 고딕" w:cs="맑은 고딕"/>
        </w:rPr>
        <w:t>1,500만 유로 또는 매출 3%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. </w:t>
      </w:r>
      <w:r>
        <w:rPr>
          <w:b/>
          <w:i w:val="0"/>
          <w:sz w:val="20"/>
          <w:rFonts w:ascii="맑은 고딕" w:hAnsi="맑은 고딕" w:eastAsia="맑은 고딕" w:cs="맑은 고딕"/>
        </w:rPr>
        <w:t>오픈소스 모델도 대상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캘리포니아 AB 2013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</w:t>
      </w:r>
      <w:r>
        <w:rPr>
          <w:b/>
          <w:i w:val="0"/>
          <w:sz w:val="20"/>
          <w:rFonts w:ascii="맑은 고딕" w:hAnsi="맑은 고딕" w:eastAsia="맑은 고딕" w:cs="맑은 고딕"/>
        </w:rPr>
        <w:t>2026-01-01 시행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, 2022-01-01 이후 공개 시스템 대상, </w:t>
      </w:r>
      <w:r>
        <w:rPr>
          <w:b/>
          <w:i w:val="0"/>
          <w:sz w:val="20"/>
          <w:rFonts w:ascii="맑은 고딕" w:hAnsi="맑은 고딕" w:eastAsia="맑은 고딕" w:cs="맑은 고딕"/>
        </w:rPr>
        <w:t>12개 항목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사전 게시, </w:t>
      </w:r>
      <w:r>
        <w:rPr>
          <w:b/>
          <w:i w:val="0"/>
          <w:sz w:val="20"/>
          <w:rFonts w:ascii="맑은 고딕" w:hAnsi="맑은 고딕" w:eastAsia="맑은 고딕" w:cs="맑은 고딕"/>
        </w:rPr>
        <w:t>영업비밀 예외 없음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한국 저작권법 TDM 면책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개정안 발의됐으나 </w:t>
      </w:r>
      <w:r>
        <w:rPr>
          <w:b/>
          <w:i w:val="0"/>
          <w:sz w:val="20"/>
          <w:rFonts w:ascii="맑은 고딕" w:hAnsi="맑은 고딕" w:eastAsia="맑은 고딕" w:cs="맑은 고딕"/>
        </w:rPr>
        <w:t>미통과</w:t>
      </w:r>
      <w:r>
        <w:rPr>
          <w:b w:val="0"/>
          <w:i w:val="0"/>
          <w:sz w:val="20"/>
          <w:rFonts w:ascii="맑은 고딕" w:hAnsi="맑은 고딕" w:eastAsia="맑은 고딕" w:cs="맑은 고딕"/>
        </w:rPr>
        <w:t>. 문체부는 학습데이터 목록 공개 의무 포함 개정 예고</w:t>
      </w:r>
    </w:p>
    <w:p>
      <w:pPr>
        <w:pStyle w:val="Heading2"/>
      </w:pPr>
      <w:r>
        <w:t>E. 에이전트를 운영에 넣을 때 (SailPoint)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NHI를 1등급 아이덴티티로 승격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사람은 HR이 SoR이지만 NHI는 SoR이 없다. </w:t>
      </w:r>
      <w:r>
        <w:rPr>
          <w:b/>
          <w:i w:val="0"/>
          <w:sz w:val="20"/>
          <w:rFonts w:ascii="맑은 고딕" w:hAnsi="맑은 고딕" w:eastAsia="맑은 고딕" w:cs="맑은 고딕"/>
        </w:rPr>
        <w:t>디스커버리가 SoR을 대신</w:t>
      </w:r>
      <w:r>
        <w:rPr>
          <w:b w:val="0"/>
          <w:i w:val="0"/>
          <w:sz w:val="20"/>
          <w:rFonts w:ascii="맑은 고딕" w:hAnsi="맑은 고딕" w:eastAsia="맑은 고딕" w:cs="맑은 고딕"/>
        </w:rPr>
        <w:t>해야 한다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에이전트를 한 덩어리로 보지 않는다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Embedded / Delegated / Autonomous / User-driven은 통제 모델이 다르다 (RBAC ↔ JIT ↔ IBAC)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가장 먼저 확인할 리스크 3종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① AI 클라이언트(Cursor·Claude CLI)가 특권 NHI 토큰을 쓰고 있는가 ② 퇴사자 PAT가 살아 있는가 ③ 협업 툴(Confluence·SharePoint·Drive)에 시크릿이 올라가 있는가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오프보딩에 토큰 회수를 넣는다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PAT는 사람에게 묶여 있는데 퇴사 후에도 살아남는다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시크릿 로테이션은 자동화하지 않으면 일어나지 않는다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킬스위치를 미리 정의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사고 시 비활성화 대상이 에이전트인지 크리덴셜인지, 롤백은 어떻게 하는지</w:t>
      </w:r>
    </w:p>
    <w:p>
      <w:r>
        <w:br w:type="page"/>
      </w:r>
    </w:p>
    <w:p>
      <w:pPr>
        <w:pStyle w:val="Heading1"/>
      </w:pPr>
      <w:r>
        <w:t>이 정리에서 확실한 것과 아닌 것</w:t>
      </w:r>
    </w:p>
    <w:p>
      <w:pPr>
        <w:spacing w:before="0" w:after="120"/>
      </w:pPr>
      <w:r>
        <w:rPr>
          <w:b/>
          <w:i w:val="0"/>
          <w:sz w:val="20"/>
          <w:rFonts w:ascii="맑은 고딕" w:hAnsi="맑은 고딕" w:eastAsia="맑은 고딕" w:cs="맑은 고딕"/>
        </w:rPr>
        <w:t>확실한 것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 — 배포 PDF 덱에 인쇄된 내용, 외부 출처로 교차 검증된 판례·규제 일정</w:t>
      </w:r>
    </w:p>
    <w:p>
      <w:pPr>
        <w:spacing w:before="120" w:after="120"/>
      </w:pPr>
      <w:r>
        <w:rPr>
          <w:b/>
          <w:i w:val="0"/>
          <w:sz w:val="20"/>
          <w:rFonts w:ascii="맑은 고딕" w:hAnsi="맑은 고딕" w:eastAsia="맑은 고딕" w:cs="맑은 고딕"/>
        </w:rPr>
        <w:t>주의할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708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주의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무신사 성과 수치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2배, 40%, 89%, 94%, 30% 감소, 35% 채용 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전부 내부 산출이며 배포 덱에서는 빠졌다.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산식·전제가 공개되지 않았으므로 타사에 그대로 이식하지 말 것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LG 2,852 → 605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자체 추적 결과.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다만 Data Provenance Initiative의 독립 감사가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같은 방향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을 가리킨다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GEMA v. Suno 독일 판결(2026)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웹 검색으로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확인하지 못했다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인용 시 「발표자 언급」 단서 필요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Thomson Reuters v. ROSS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1심 원고 승이지만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제3연방항소법원 항소 진행 중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(2026-07 구두변론). 「확정된 법리」로 인용하면 안 된다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SailPoint 91% / 97% / 144:1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SailPoint 자체 조사.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2025년 5월 보고서는 82% / 44% / 109:1이었다. 인용 시 조사 시점을 밝힐 것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「Agentic Fabric 도입 사례」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GA 1개월차 제품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이다. IGA 레퍼런스를 에이전트 거버넌스 레퍼런스로 대체해 듣지 말 것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발표자 표기 (무신사)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현장 기록에는 「이현주」로 적혀 있으나 배포 PDF 표지는 「길기용 Director」다.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문서는 PDF 표기를 따랐다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확인 후 필요하면 이름만 수정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06A"/>
        <w:sz w:val="16"/>
        <w:rFonts w:ascii="맑은 고딕" w:hAnsi="맑은 고딕" w:eastAsia="맑은 고딕" w:cs="맑은 고딕"/>
      </w:rPr>
      <w:t xml:space="preserve">AI Infrastructure &amp; Data 2026 · 세션 3건 교차 정리  |  </w:t>
    </w:r>
    <w:r>
      <w:rPr>
        <w:color w:val="5A606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C2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