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i w:val="0"/>
          <w:color w:val="5A606A"/>
          <w:sz w:val="18"/>
          <w:rFonts w:ascii="맑은 고딕" w:hAnsi="맑은 고딕" w:eastAsia="맑은 고딕" w:cs="맑은 고딕"/>
        </w:rPr>
        <w:t>AI Infrastructure &amp; Data 2026 · Closing Keynote 2 · 세션 정리</w:t>
      </w:r>
    </w:p>
    <w:p>
      <w:pPr>
        <w:spacing w:before="0" w:after="80"/>
      </w:pPr>
      <w:r>
        <w:rPr>
          <w:b/>
          <w:i w:val="0"/>
          <w:color w:val="1F3B73"/>
          <w:sz w:val="44"/>
          <w:rFonts w:ascii="맑은 고딕" w:hAnsi="맑은 고딕" w:eastAsia="맑은 고딕" w:cs="맑은 고딕"/>
        </w:rPr>
        <w:t>AI 학습데이터의 국내외 분쟁 동향과 추적가능 컴플라이언스</w:t>
      </w:r>
    </w:p>
    <w:p>
      <w:pPr>
        <w:spacing w:before="0" w:after="20"/>
      </w:pPr>
      <w:r>
        <w:rPr>
          <w:b w:val="0"/>
          <w:i w:val="0"/>
          <w:color w:val="5A606A"/>
          <w:sz w:val="23"/>
          <w:rFonts w:ascii="맑은 고딕" w:hAnsi="맑은 고딕" w:eastAsia="맑은 고딕" w:cs="맑은 고딕"/>
        </w:rPr>
        <w:t>AI-BOM 기반 데이터 공급망 관리</w:t>
      </w:r>
    </w:p>
    <w:p>
      <w:pPr>
        <w:spacing w:before="0" w:after="200"/>
      </w:pPr>
      <w:r>
        <w:rPr>
          <w:b w:val="0"/>
          <w:i w:val="0"/>
          <w:color w:val="5A606A"/>
          <w:sz w:val="23"/>
          <w:rFonts w:ascii="맑은 고딕" w:hAnsi="맑은 고딕" w:eastAsia="맑은 고딕" w:cs="맑은 고딕"/>
        </w:rPr>
        <w:t>We must open up not just the technology itself, but the hidden risks within it.</w:t>
      </w:r>
    </w:p>
    <w:p>
      <w:pPr>
        <w:spacing w:before="80" w:after="160"/>
        <w:pBdr>
          <w:bottom w:val="single" w:sz="6" w:space="1" w:color="C6CCD8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81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782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행사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AI Infrastructure &amp; Data 2026 (CIO Korea / ITWORLD)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일시·장소</w:t>
            </w:r>
          </w:p>
        </w:tc>
        <w:tc>
          <w:tcPr>
            <w:tcW w:type="dxa" w:w="782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2026년 9월 2일(수) · 서울 드래곤시티 그랜드볼룸 한라(3F)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발표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조정원 — Legal &amp; Compliance Team Lead, LG AI연구원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첨부 자료</w:t>
            </w:r>
          </w:p>
        </w:tc>
        <w:tc>
          <w:tcPr>
            <w:tcW w:type="dxa" w:w="782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Closing_Keynote_2_LG_AI.pdf (29페이지)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정리 범위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배포 슬라이드 + 발표 현장 녹취 + 외부 웹 리서치(2026-09-07 기준)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i w:val="0"/>
          <w:color w:val="1F3B73"/>
          <w:sz w:val="22"/>
          <w:rFonts w:ascii="맑은 고딕" w:hAnsi="맑은 고딕" w:eastAsia="맑은 고딕" w:cs="맑은 고딕"/>
        </w:rPr>
        <w:t>한 줄 요약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5"/>
                <w:rFonts w:ascii="맑은 고딕" w:hAnsi="맑은 고딕" w:eastAsia="맑은 고딕" w:cs="맑은 고딕"/>
              </w:rPr>
              <w:t>신뢰는 한 번도 맹목적인 믿음이었던 적이 없습니다. 언제나 「보이는가」의 문제였습니다.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SBOM이 코드의 투명성을 풀었듯, AI-BOM은 학습 데이터의 계보를 풀어야 한다. 그런데 AI 구성요소 세 가지(베이스 모델 아키텍처 / 파라미터·가중치 / 학습 데이터셋) 중 두 가지는 코드에 아무 흔적도 남기지 않는다.</w:t>
      </w:r>
    </w:p>
    <w:p>
      <w:pPr>
        <w:spacing w:before="80" w:after="160"/>
        <w:pBdr>
          <w:bottom w:val="single" w:sz="6" w:space="1" w:color="C6CCD8"/>
        </w:pBdr>
      </w:pPr>
    </w:p>
    <w:p>
      <w:pPr>
        <w:spacing w:before="0" w:after="80"/>
      </w:pPr>
      <w:r>
        <w:rPr>
          <w:b/>
          <w:i w:val="0"/>
          <w:color w:val="1F3B73"/>
          <w:sz w:val="20"/>
          <w:rFonts w:ascii="맑은 고딕" w:hAnsi="맑은 고딕" w:eastAsia="맑은 고딕" w:cs="맑은 고딕"/>
        </w:rPr>
        <w:t xml:space="preserve">이 문서를 읽는 법  </w:t>
      </w:r>
      <w:r>
        <w:rPr>
          <w:b w:val="0"/>
          <w:i w:val="0"/>
          <w:sz w:val="19"/>
          <w:rFonts w:ascii="맑은 고딕" w:hAnsi="맑은 고딕" w:eastAsia="맑은 고딕" w:cs="맑은 고딕"/>
        </w:rPr>
        <w:t xml:space="preserve">1~5장은 발표 내용, 6장은 외부 근거로 붙인 맥락과 팩트체크, 7장은 우리 팀 체크리스트와 규제 데드라인, 8장은 인용 시 주의사항입니다. </w:t>
      </w:r>
      <w:r>
        <w:rPr>
          <w:b/>
          <w:i w:val="0"/>
          <w:color w:val="B0302E"/>
          <w:sz w:val="19"/>
          <w:rFonts w:ascii="맑은 고딕" w:hAnsi="맑은 고딕" w:eastAsia="맑은 고딕" w:cs="맑은 고딕"/>
        </w:rPr>
        <w:t>판례·규제 일정은 모두 1차 자료로 교차 검증했고, 검증하지 못한 항목은 8장에 따로 적었습니다.</w:t>
      </w:r>
    </w:p>
    <w:p>
      <w:r>
        <w:br w:type="page"/>
      </w:r>
    </w:p>
    <w:p>
      <w:pPr>
        <w:pStyle w:val="Heading1"/>
      </w:pPr>
      <w:r>
        <w:t>0. 발표 조직 — 법무팀이 만든 제품 이야기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LG AI연구원은 2020년 12월 설립된 LG그룹의 AI 싱크탱크. Legal &amp; Compliance 조직은 법률·규제 이슈에 대응하는 데 그치지 않고, 그 과정에서 축적한 기준과 노하우를 AI 기반 솔루션으로 구현해 외부로 확장하는 「Scalable Compliance」를 실행한다.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이 한 문단이 발표 전체의 성격을 규정한다. 법무 리스크 브리핑이 아니라, 법무팀이 만든 제품에 대한 발표다.</w:t>
      </w:r>
    </w:p>
    <w:p>
      <w:pPr>
        <w:pStyle w:val="Heading2"/>
      </w:pPr>
      <w:r>
        <w:t>0-1. 지난 5년의 모델, 그리고 아직 못 푼 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모델</w:t>
            </w:r>
          </w:p>
        </w:tc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시점</w:t>
            </w:r>
          </w:p>
        </w:tc>
        <w:tc>
          <w:tcPr>
            <w:tcW w:type="dxa" w:w="6236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특징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EXAONE 1.0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2021.12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한국어와 영어를 함께 이해하는 이중언어 모델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EXAONE 2.0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2023.7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전문성·신뢰성·비용 효율성을 크게 높인 모델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EXAONE 3.0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2024.8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7.8B 인스트럭션 튜닝 언어모델을 일반에 공개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EXAONE 3.5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2024.12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긴 문맥 이해와 지시 수행 능력이 뛰어난 모델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EXAONE Deep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2025.3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수학·과학·코딩에서 강력한 추론 능력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EXAONE 4.0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—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언어와 추론을 통합한 하이브리드 AI 모델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EXAONE 4.5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2026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LG 최초의 오픈 웨이트 비전-언어(VLM) 모델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K-EXAONE 2.0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2025.8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750B 프론티어급 멀티모달 · Apache 2.0 오픈소스 · 독자 기술로 구축한 대한민국 대표 AI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추가 성과 — Epoch AI의 Notable AI Models 등재, 대한민국 독자 파운데이션 모델 1차 평가 종합 1위 / 2차 평가 Top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모델을 만드는 법은 알지만, 그 투명성을 증명하는 법은 찾아 나가고 있습니다.</w:t>
            </w:r>
          </w:p>
        </w:tc>
      </w:tr>
    </w:tbl>
    <w:p>
      <w:pPr>
        <w:spacing w:after="40"/>
      </w:pPr>
    </w:p>
    <w:p>
      <w:pPr>
        <w:pStyle w:val="Heading1"/>
      </w:pPr>
      <w:r>
        <w:t>1. 왜 AI-BOM인가 — 공급망이 단절되지 않게 어떻게 지킬 것인가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시대</w:t>
            </w:r>
          </w:p>
        </w:tc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명세서</w:t>
            </w:r>
          </w:p>
        </w:tc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무엇을 보장하나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하드웨어의 시대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부품 명세서 (BOM)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제조 공급망 투명성 + 제품 구성요소 추적성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소프트웨어의 시대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소프트웨어 명세서 (SBOM)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소프트웨어 공급망 투명성 + 의존성·라이선스 추적성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인공지능의 시대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명세서 (AI-BOM)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AI의 투명성은 어떻게 추적할 것인가?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블랙박스인 AI의 투명성은 어떻게 보장할 수 있을까요? 지금의 SBOM 도구로 그 상자를 열 수 있을까요?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EU AI Act, 한국 AI 기본법 등은 공통적으로 「AI를 어떻게 만들고 무슨 데이터를 썼는지 기록하라」고 요구한다. 왜 기록하라고 했는가를 끝까지 따라가면 이 질문에 닿는다: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AI가 로봇에 탑재되어 사람에게 위해를 가했을 때, 대체 무엇 때문에 이 문제가 발생했는가?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한국은 2026년 1월 AI 기본법 발효. 발효 이후 각 기업에서 — LG 그룹 내부에서도 — 상당한 혼란이 있었고, 그 해결책으로 AI-BOM을 만들고 있다.</w:t>
      </w:r>
    </w:p>
    <w:p>
      <w:pPr>
        <w:pStyle w:val="Heading1"/>
      </w:pPr>
      <w:r>
        <w:t>2. 왜 SBOM 도구로는 안 되는가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구분</w:t>
            </w:r>
          </w:p>
        </w:tc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소프트웨어</w:t>
            </w:r>
          </w:p>
        </w:tc>
        <w:tc>
          <w:tcPr>
            <w:tcW w:type="dxa" w:w="425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AI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동작 방식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개발자가 정의한 로직 그대로 동작 (입력 → 출력)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학습한 패턴을 바탕으로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확률적으로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결과 생성 (입력 → 출력 1/2/3)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스캔 결과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`source_code.py`의 `import flask` → 스캐너 탐지: flask 3.1.0, BSD-3-Clause</w:t>
            </w:r>
          </w:p>
        </w:tc>
        <w:tc>
          <w:tcPr>
            <w:tcW w:type="dxa" w:w="425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`train.py`의 `load_model('weights.h5')`, `load_dataset("./corpus/")` →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스캐너에는 파일 이름만 보인다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결론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위험이 특정 코드 라인에 분명히 드러남 →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소스코드로 추적 가능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어떤 코드 한 줄로도 위험을 알아낼 수 없음 →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소스코드로는 추적 불가</w:t>
            </w:r>
          </w:p>
        </w:tc>
      </w:tr>
    </w:tbl>
    <w:p>
      <w:pPr>
        <w:spacing w:after="40"/>
      </w:pPr>
    </w:p>
    <w:p>
      <w:pPr>
        <w:pStyle w:val="Heading2"/>
      </w:pPr>
      <w:r>
        <w:t>2-1. AI-BOM이 반드시 해결해야 할 세 가지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구성요소</w:t>
            </w:r>
          </w:p>
        </w:tc>
        <w:tc>
          <w:tcPr>
            <w:tcW w:type="dxa" w:w="6236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SBOM 스캐너로 잡히나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베이스 모델 아키텍처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가능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SBOM 스캐너가 찾아낼 수 있는 유일한 항목</w:t>
            </w:r>
          </w:p>
        </w:tc>
      </w:tr>
      <w:tr>
        <w:tc>
          <w:tcPr>
            <w:tcW w:type="dxa" w:w="34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모델 파라미터 및 가중치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불가능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학습 데이터셋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불가능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세 가지 중 두 가지는 코드에 아무 흔적도 남기지 않습니다. 그럼에도 AI BOM은 이를 기록해야 합니다.</w:t>
            </w:r>
          </w:p>
        </w:tc>
      </w:tr>
    </w:tbl>
    <w:p>
      <w:pPr>
        <w:spacing w:after="40"/>
      </w:pPr>
    </w:p>
    <w:p>
      <w:pPr>
        <w:pStyle w:val="Heading2"/>
      </w:pPr>
      <w:r>
        <w:t>2-2. 이미 한 번 풀어낸 문제, 구성요소만 바뀌었다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질문</w:t>
            </w:r>
          </w:p>
        </w:tc>
        <w:tc>
          <w:tcPr>
            <w:tcW w:type="dxa" w:w="368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소프트웨어 (SBOM)</w:t>
            </w:r>
          </w:p>
        </w:tc>
        <w:tc>
          <w:tcPr>
            <w:tcW w:type="dxa" w:w="368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AI (AI-BOM)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구성요소는 무엇인가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패키지, 라이브러리, 버전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데이터셋, 모델, 가중치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누가 선언하는가</w:t>
            </w:r>
          </w:p>
        </w:tc>
        <w:tc>
          <w:tcPr>
            <w:tcW w:type="dxa" w:w="368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빌드 시스템이 자동으로 선언</w:t>
            </w:r>
          </w:p>
        </w:tc>
        <w:tc>
          <w:tcPr>
            <w:tcW w:type="dxa" w:w="368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아무도 하지 않는다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얼마나 깊은가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해석 가능하고, 대체로 깊지 않다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끝없이 깊고, 해석이 어렵다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무슨 질문에 답하는가</w:t>
            </w:r>
          </w:p>
        </w:tc>
        <w:tc>
          <w:tcPr>
            <w:tcW w:type="dxa" w:w="368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 바이너리 안에 무엇이 있는가?</w:t>
            </w:r>
          </w:p>
        </w:tc>
        <w:tc>
          <w:tcPr>
            <w:tcW w:type="dxa" w:w="368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 모델 안에 무엇이 있는가?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표준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SPDX — 리눅스재단 · ISO/IEC 5962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SPDX 3.0 &amp; OpenChain AI System BOM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리눅스재단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명세서에는 이미 그 자리가 마련되어 있습니다. 그 자리를 채울 방법이 없을 뿐입니다.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투명성은 「연결」 속에 있다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68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#</w:t>
            </w:r>
          </w:p>
        </w:tc>
        <w:tc>
          <w:tcPr>
            <w:tcW w:type="dxa" w:w="215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6803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질문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1</w:t>
            </w:r>
          </w:p>
        </w:tc>
        <w:tc>
          <w:tcPr>
            <w:tcW w:type="dxa" w:w="215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모델 출처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 모델을 처음부터 직접 만들었는가? 사전학습된 파운데이션 모델을 파인튜닝하거나 파생된 것인가?</w:t>
            </w:r>
          </w:p>
        </w:tc>
      </w:tr>
      <w:tr>
        <w:tc>
          <w:tcPr>
            <w:tcW w:type="dxa" w:w="68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</w:t>
            </w:r>
          </w:p>
        </w:tc>
        <w:tc>
          <w:tcPr>
            <w:tcW w:type="dxa" w:w="21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학습 데이터 계보</w:t>
            </w:r>
          </w:p>
        </w:tc>
        <w:tc>
          <w:tcPr>
            <w:tcW w:type="dxa" w:w="6803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학습에 정확히 어떤 데이터셋을 사용했는가?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215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데이터셋 출처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이 데이터는 어디서 비롯되었고,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적법하게 확보되었는가?</w:t>
            </w:r>
          </w:p>
        </w:tc>
      </w:tr>
    </w:tbl>
    <w:p>
      <w:pPr>
        <w:spacing w:after="40"/>
      </w:pPr>
    </w:p>
    <w:p>
      <w:pPr>
        <w:spacing w:before="0" w:after="120"/>
        <w:jc w:val="center"/>
      </w:pPr>
      <w:r>
        <w:rPr>
          <w:b/>
          <w:i w:val="0"/>
          <w:sz w:val="20"/>
          <w:rFonts w:ascii="맑은 고딕" w:hAnsi="맑은 고딕" w:eastAsia="맑은 고딕" w:cs="맑은 고딕"/>
        </w:rPr>
        <w:t>베이스 모델 알고리즘 → 모델 파라미터·가중치 → 학습 데이터셋 → 데이터 출처(복수)</w:t>
      </w:r>
    </w:p>
    <w:p>
      <w:pPr>
        <w:pStyle w:val="Heading2"/>
      </w:pPr>
      <w:r>
        <w:t>3-1. 모델은 형태를 남기지만, 데이터는 남기지 않는다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25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계보</w:t>
            </w:r>
          </w:p>
        </w:tc>
        <w:tc>
          <w:tcPr>
            <w:tcW w:type="dxa" w:w="5386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상태</w:t>
            </w:r>
          </w:p>
        </w:tc>
      </w:tr>
      <w:tr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모델 계보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「이 모델은 저 모델에서 파생되었다」</w:t>
            </w:r>
          </w:p>
        </w:tc>
        <w:tc>
          <w:tcPr>
            <w:tcW w:type="dxa" w:w="5386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표현 가능하고, 구조화되며,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기록으로 남는다</w:t>
            </w:r>
          </w:p>
        </w:tc>
      </w:tr>
      <w:tr>
        <w:tc>
          <w:tcPr>
            <w:tcW w:type="dxa" w:w="425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데이터셋 계보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「이 데이터셋은… 어디서 왔는가?」</w:t>
            </w:r>
          </w:p>
        </w:tc>
        <w:tc>
          <w:tcPr>
            <w:tcW w:type="dxa" w:w="538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선택 항목.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그래서 요구되지 않고, 채워지지 않고, 존재하지 않는다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모델도 중요합니다. 하지만 우리가 여전히 볼 수 없는 쪽은 데이터입니다.</w:t>
            </w:r>
          </w:p>
        </w:tc>
      </w:tr>
    </w:tbl>
    <w:p>
      <w:pPr>
        <w:spacing w:after="40"/>
      </w:pPr>
    </w:p>
    <w:p>
      <w:pPr>
        <w:pStyle w:val="Heading1"/>
      </w:pPr>
      <w:r>
        <w:t>4. 법적 리스크는 이미 현실이다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현재 시점 기준 전 세계 약 130~150건의 AI 학습데이터 관련 분쟁이 존재하고 100건 이상이 진행 중이라는 것이 발표자의 집계다. 쟁점은 ① 저작권 침해가 있었는가 ② 개인정보보호법 침해가 있었는가로 모인다. 미국은 연방 차원의 통일된 개인정보보호법이 없어, 대부분 원저작물의 권리자가 AI 회사를 상대로 손해배상 청구 + 금지명령을 구하는 구조로 간다.</w:t>
      </w:r>
    </w:p>
    <w:p>
      <w:pPr>
        <w:pStyle w:val="Heading2"/>
      </w:pPr>
      <w:r>
        <w:t>4-1. 학습데이터 관련 주요 판례 (2024~)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사건</w:t>
            </w:r>
          </w:p>
        </w:tc>
        <w:tc>
          <w:tcPr>
            <w:tcW w:type="dxa" w:w="113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국가</w:t>
            </w:r>
          </w:p>
        </w:tc>
        <w:tc>
          <w:tcPr>
            <w:tcW w:type="dxa" w:w="90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년도</w:t>
            </w:r>
          </w:p>
        </w:tc>
        <w:tc>
          <w:tcPr>
            <w:tcW w:type="dxa" w:w="136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승소</w:t>
            </w:r>
          </w:p>
        </w:tc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법적 배경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Li v. Liu</w:t>
            </w:r>
          </w:p>
        </w:tc>
        <w:tc>
          <w:tcPr>
            <w:tcW w:type="dxa" w:w="113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중국</w:t>
            </w:r>
          </w:p>
        </w:tc>
        <w:tc>
          <w:tcPr>
            <w:tcW w:type="dxa" w:w="90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2024</w:t>
            </w:r>
          </w:p>
        </w:tc>
        <w:tc>
          <w:tcPr>
            <w:tcW w:type="dxa" w:w="136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원고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저작권법</w:t>
            </w:r>
          </w:p>
        </w:tc>
      </w:tr>
      <w:tr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Sin Changhwa Cultural Development LLC v. AI Company</w:t>
            </w:r>
          </w:p>
        </w:tc>
        <w:tc>
          <w:tcPr>
            <w:tcW w:type="dxa" w:w="113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중국</w:t>
            </w:r>
          </w:p>
        </w:tc>
        <w:tc>
          <w:tcPr>
            <w:tcW w:type="dxa" w:w="90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2024</w:t>
            </w:r>
          </w:p>
        </w:tc>
        <w:tc>
          <w:tcPr>
            <w:tcW w:type="dxa" w:w="13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원고</w:t>
            </w:r>
          </w:p>
        </w:tc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저작권법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Thomson Reuters v. ROSS Intelligence</w:t>
            </w:r>
          </w:p>
        </w:tc>
        <w:tc>
          <w:tcPr>
            <w:tcW w:type="dxa" w:w="113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미국</w:t>
            </w:r>
          </w:p>
        </w:tc>
        <w:tc>
          <w:tcPr>
            <w:tcW w:type="dxa" w:w="90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2025</w:t>
            </w:r>
          </w:p>
        </w:tc>
        <w:tc>
          <w:tcPr>
            <w:tcW w:type="dxa" w:w="136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원고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저작권법 (공정이용)</w:t>
            </w:r>
          </w:p>
        </w:tc>
      </w:tr>
      <w:tr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Andrea Bartz v. Anthropic</w:t>
            </w:r>
          </w:p>
        </w:tc>
        <w:tc>
          <w:tcPr>
            <w:tcW w:type="dxa" w:w="113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미국</w:t>
            </w:r>
          </w:p>
        </w:tc>
        <w:tc>
          <w:tcPr>
            <w:tcW w:type="dxa" w:w="90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2025</w:t>
            </w:r>
          </w:p>
        </w:tc>
        <w:tc>
          <w:tcPr>
            <w:tcW w:type="dxa" w:w="13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원고</w:t>
            </w:r>
          </w:p>
        </w:tc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저작권법 (공정이용)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Kadrey v. Meta</w:t>
            </w:r>
          </w:p>
        </w:tc>
        <w:tc>
          <w:tcPr>
            <w:tcW w:type="dxa" w:w="113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미국</w:t>
            </w:r>
          </w:p>
        </w:tc>
        <w:tc>
          <w:tcPr>
            <w:tcW w:type="dxa" w:w="90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2025</w:t>
            </w:r>
          </w:p>
        </w:tc>
        <w:tc>
          <w:tcPr>
            <w:tcW w:type="dxa" w:w="136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피고(AI사)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저작권법 (공정이용)</w:t>
            </w:r>
          </w:p>
        </w:tc>
      </w:tr>
      <w:tr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Getty Images v. Stability AI</w:t>
            </w:r>
          </w:p>
        </w:tc>
        <w:tc>
          <w:tcPr>
            <w:tcW w:type="dxa" w:w="113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영국</w:t>
            </w:r>
          </w:p>
        </w:tc>
        <w:tc>
          <w:tcPr>
            <w:tcW w:type="dxa" w:w="90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2025</w:t>
            </w:r>
          </w:p>
        </w:tc>
        <w:tc>
          <w:tcPr>
            <w:tcW w:type="dxa" w:w="13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피고(AI사)</w:t>
            </w:r>
          </w:p>
        </w:tc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저작권법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GEMA v. OpenAI</w:t>
            </w:r>
          </w:p>
        </w:tc>
        <w:tc>
          <w:tcPr>
            <w:tcW w:type="dxa" w:w="113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독일</w:t>
            </w:r>
          </w:p>
        </w:tc>
        <w:tc>
          <w:tcPr>
            <w:tcW w:type="dxa" w:w="90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2025</w:t>
            </w:r>
          </w:p>
        </w:tc>
        <w:tc>
          <w:tcPr>
            <w:tcW w:type="dxa" w:w="136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원고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저작권법</w:t>
            </w:r>
          </w:p>
        </w:tc>
      </w:tr>
      <w:tr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GEMA v. Suno</w:t>
            </w:r>
          </w:p>
        </w:tc>
        <w:tc>
          <w:tcPr>
            <w:tcW w:type="dxa" w:w="113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독일</w:t>
            </w:r>
          </w:p>
        </w:tc>
        <w:tc>
          <w:tcPr>
            <w:tcW w:type="dxa" w:w="90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2026</w:t>
            </w:r>
          </w:p>
        </w:tc>
        <w:tc>
          <w:tcPr>
            <w:tcW w:type="dxa" w:w="13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원고</w:t>
            </w:r>
          </w:p>
        </w:tc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저작권법 (미·독)</w:t>
            </w:r>
          </w:p>
        </w:tc>
      </w:tr>
    </w:tbl>
    <w:p>
      <w:pPr>
        <w:spacing w:after="40"/>
      </w:pPr>
    </w:p>
    <w:p>
      <w:pPr>
        <w:pStyle w:val="Heading2"/>
      </w:pPr>
      <w:r>
        <w:t>4-2. 오픈소스 컴플라이언스와의 성숙도 격차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영역</w:t>
            </w:r>
          </w:p>
        </w:tc>
        <w:tc>
          <w:tcPr>
            <w:tcW w:type="dxa" w:w="793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축적된 역사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Open Source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AFPA v. Edu4 → SCO v. IBM($1B, 2003) → BusyBox(2007) → Jacobsen v. Katzer(2008) → Google v. Oracle(2018) → 현재.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20년 넘게 다듬어져 준비되어 있음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Open Data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Getty Image v. Stable Diffusion(2023) → 중국 2건(2024) → Thomson Reuters v. ROSS / Bartz v. Anthropic / GEMA v. OpenAI(2025) → 현재.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아직 준비되지 않음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Source Code</w:t>
            </w:r>
          </w:p>
        </w:tc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AI Training Data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형태: 코드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형태: 코드, 텍스트, 이미지, 영상, 오디오 등</w:t>
            </w:r>
          </w:p>
        </w:tc>
      </w:tr>
      <w:tr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이용 목적: 소프트웨어 개발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이용 목적: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본래 저작물의 목적과 다른 목적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컴플라이언스: 표준화되어 준수됨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컴플라이언스: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표준화되지 않음</w:t>
            </w:r>
          </w:p>
        </w:tc>
      </w:tr>
      <w:tr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고지의 의무: 표준화되어 준수됨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고지의 의무: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표준화되지 않음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Source Code → compile → Software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Data + Source Code → train → AI Model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(데이터가 결과물의 일부가 된다)</w:t>
            </w:r>
          </w:p>
        </w:tc>
      </w:tr>
    </w:tbl>
    <w:p>
      <w:pPr>
        <w:spacing w:after="40"/>
      </w:pPr>
    </w:p>
    <w:p>
      <w:pPr>
        <w:pStyle w:val="Heading2"/>
      </w:pPr>
      <w:r>
        <w:t>4-3. 국가별 면책 규정 — 파편화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국가</w:t>
            </w:r>
          </w:p>
        </w:tc>
        <w:tc>
          <w:tcPr>
            <w:tcW w:type="dxa" w:w="311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항변 근거</w:t>
            </w:r>
          </w:p>
        </w:tc>
        <w:tc>
          <w:tcPr>
            <w:tcW w:type="dxa" w:w="51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핵심 조항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미국</w:t>
            </w:r>
          </w:p>
        </w:tc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Fair Use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17 U.S.C. § 107 (4요소 형량)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한국</w:t>
            </w:r>
          </w:p>
        </w:tc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공정이용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저작권법 제35조의5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EU</w:t>
            </w:r>
          </w:p>
        </w:tc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TDM 예외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DSM Directive Arts. 3 &amp; 4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일본</w:t>
            </w:r>
          </w:p>
        </w:tc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정보분석 예외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저작권법 제30조의4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싱가포르</w:t>
            </w:r>
          </w:p>
        </w:tc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전산데이터분석(CDA) 예외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Copyright Act 2021 §§ 243–244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영국</w:t>
            </w:r>
          </w:p>
        </w:tc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Fair Dealing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CDPA 1988 §§ 29–30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국가별로 저작권법상의 면책은 파편화되고 있고, 예측 가능성은 줄어들고 있습니다.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한국의 공정이용 조항은 2012년 한미 FTA 당시 미국 저작권법의 공정이용 범위를 거의 그대로 차용한 것.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문제는 글로벌 배포. 모델을 허깅페이스에 올리면 지구 반대편까지 도달하는데, 그 국가의 저작권법은 어떤지, 항변 근거는 무엇인지를 매번 리서치해야 한다. 파편화가 심해질수록 기업 내부 컴플라이언스 체계에 소모되는 에너지가 급증한다.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고객 요구도 실재한다 — AI 모델을 제3자·고객사에 제공할 때 「학습데이터를 뭘로 썼는지 공개해 달라」는 요청이 그룹사 포함해 꽤 들어온다.</w:t>
      </w:r>
    </w:p>
    <w:p>
      <w:pPr>
        <w:pStyle w:val="Heading2"/>
      </w:pPr>
      <w:r>
        <w:t>4-4. Andrea Bartz v. Anthropic — 같은 학습, 다른 결론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같은 AI 학습이라도 데이터를 어떻게 취득했는가에 따라 공정이용 판단이 갈렸다.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공정이용 4요소</w:t>
            </w:r>
          </w:p>
        </w:tc>
        <w:tc>
          <w:tcPr>
            <w:tcW w:type="dxa" w:w="209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① LLM 학습을 위한 복제</w:t>
            </w:r>
          </w:p>
        </w:tc>
        <w:tc>
          <w:tcPr>
            <w:tcW w:type="dxa" w:w="209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② 구매한 책의 디지털화</w:t>
            </w:r>
          </w:p>
        </w:tc>
        <w:tc>
          <w:tcPr>
            <w:tcW w:type="dxa" w:w="204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③ 불법 다운로드 도서 저장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제1요소: 이용의 목적과 성격</w:t>
            </w:r>
          </w:p>
        </w:tc>
        <w:tc>
          <w:tcPr>
            <w:tcW w:type="dxa" w:w="209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피고 유리</w:t>
            </w:r>
          </w:p>
        </w:tc>
        <w:tc>
          <w:tcPr>
            <w:tcW w:type="dxa" w:w="209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피고 유리</w:t>
            </w:r>
          </w:p>
        </w:tc>
        <w:tc>
          <w:tcPr>
            <w:tcW w:type="dxa" w:w="204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원고 유리</w:t>
            </w:r>
          </w:p>
        </w:tc>
      </w:tr>
      <w:tr>
        <w:tc>
          <w:tcPr>
            <w:tcW w:type="dxa" w:w="34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제2요소: 원저작물의 성격</w:t>
            </w:r>
          </w:p>
        </w:tc>
        <w:tc>
          <w:tcPr>
            <w:tcW w:type="dxa" w:w="209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원고 유리</w:t>
            </w:r>
          </w:p>
        </w:tc>
        <w:tc>
          <w:tcPr>
            <w:tcW w:type="dxa" w:w="209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원고 유리</w:t>
            </w:r>
          </w:p>
        </w:tc>
        <w:tc>
          <w:tcPr>
            <w:tcW w:type="dxa" w:w="204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원고 유리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제3요소: 이용된 부분의 양과 중요성</w:t>
            </w:r>
          </w:p>
        </w:tc>
        <w:tc>
          <w:tcPr>
            <w:tcW w:type="dxa" w:w="209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피고 유리</w:t>
            </w:r>
          </w:p>
        </w:tc>
        <w:tc>
          <w:tcPr>
            <w:tcW w:type="dxa" w:w="209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피고 유리</w:t>
            </w:r>
          </w:p>
        </w:tc>
        <w:tc>
          <w:tcPr>
            <w:tcW w:type="dxa" w:w="204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원고 유리</w:t>
            </w:r>
          </w:p>
        </w:tc>
      </w:tr>
      <w:tr>
        <w:tc>
          <w:tcPr>
            <w:tcW w:type="dxa" w:w="34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제4요소: 잠재적 시장·가치에 미치는 영향</w:t>
            </w:r>
          </w:p>
        </w:tc>
        <w:tc>
          <w:tcPr>
            <w:tcW w:type="dxa" w:w="209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피고 유리</w:t>
            </w:r>
          </w:p>
        </w:tc>
        <w:tc>
          <w:tcPr>
            <w:tcW w:type="dxa" w:w="209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중립</w:t>
            </w:r>
          </w:p>
        </w:tc>
        <w:tc>
          <w:tcPr>
            <w:tcW w:type="dxa" w:w="204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원고 유리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공정이용?</w:t>
            </w:r>
          </w:p>
        </w:tc>
        <w:tc>
          <w:tcPr>
            <w:tcW w:type="dxa" w:w="209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인정 O</w:t>
            </w:r>
          </w:p>
        </w:tc>
        <w:tc>
          <w:tcPr>
            <w:tcW w:type="dxa" w:w="209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인정 O</w:t>
            </w:r>
          </w:p>
        </w:tc>
        <w:tc>
          <w:tcPr>
            <w:tcW w:type="dxa" w:w="204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부정 X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문제는, 우리가 사용하는 데이터셋이 어디서 온 데이터인지 모른다는 데 있습니다.</w:t>
            </w:r>
          </w:p>
        </w:tc>
      </w:tr>
    </w:tbl>
    <w:p>
      <w:pPr>
        <w:spacing w:after="40"/>
      </w:pPr>
    </w:p>
    <w:p>
      <w:pPr>
        <w:pStyle w:val="Heading2"/>
      </w:pPr>
      <w:r>
        <w:t>4-5. 세계는 이미 같은 질문을 시작했다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주체</w:t>
            </w:r>
          </w:p>
        </w:tc>
        <w:tc>
          <w:tcPr>
            <w:tcW w:type="dxa" w:w="793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묻는 방식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법원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「이 자료는 어디서 왔고, 누가 그 사용을 허락했는가?」 — Bartz는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책을 어떻게 취득했는지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를, Getty는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복제가 어디서 일어났는지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를 물었다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규제기관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「시스템이 무엇으로 학습되었는지 요약을 공개하라」 — 캘리포니아 AB 2013은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2026년 1월부터 시행 중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이고, 유사 의무가 다른 나라에도 도입되고 있다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고객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「우리가 도입하는 모델 안에 무엇이 들어 있는지 보여 줄 수 있습니까?」 —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구매 부서는 이제 SBOM을 요구하듯 데이터 출처를 요구한다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팀 공유 시 가장 설득력 있는 한 장. AI-BOM이 법무 이슈만이 아니라 구매·영업 이슈이기도 함을 보여준다.</w:t>
      </w:r>
    </w:p>
    <w:p>
      <w:r>
        <w:br w:type="page"/>
      </w:r>
    </w:p>
    <w:p>
      <w:pPr>
        <w:pStyle w:val="Heading1"/>
      </w:pPr>
      <w:r>
        <w:t>5. LG AI연구원이 만들고 있는 것</w:t>
      </w:r>
    </w:p>
    <w:p>
      <w:pPr>
        <w:pStyle w:val="Heading2"/>
      </w:pPr>
      <w:r>
        <w:t>5-1. 빠진 고리를 정의한다 — 데이터셋 계보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대한민국 정부의 국가 AI-BOM 프로파일 과제로 수행 중이며, SPDX 3.0을 수정 없이 확장한다.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법적 의무</w:t>
            </w:r>
          </w:p>
        </w:tc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문제</w:t>
            </w:r>
          </w:p>
        </w:tc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우리가 정의하는 필드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인공지능 기본법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학습에 사용된 데이터의 개요</w:t>
            </w:r>
          </w:p>
        </w:tc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문장은 기록이 아니다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「공개 웹데이터로 학습함」 식으로는 검증할 수 있는 것이 없다</w:t>
            </w:r>
          </w:p>
        </w:tc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데이터셋 계보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문장이 아닌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그래프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. 기계 판독 가능하고 검증 가능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/>
          <w:i w:val="0"/>
          <w:sz w:val="20"/>
          <w:rFonts w:ascii="맑은 고딕" w:hAnsi="맑은 고딕" w:eastAsia="맑은 고딕" w:cs="맑은 고딕"/>
        </w:rPr>
        <w:t>구조: 모델 ← 데이터셋 ← 데이터 소스 1~4 ← 소스 1-1, 1-2… ← 소스 1-2-1… (더 이상 새로운 소스가 나오지 않을 때까지)</w:t>
      </w:r>
    </w:p>
    <w:p>
      <w:pPr>
        <w:spacing w:before="0" w:after="120"/>
      </w:pPr>
      <w:r>
        <w:rPr>
          <w:b/>
          <w:i w:val="0"/>
          <w:sz w:val="20"/>
          <w:rFonts w:ascii="맑은 고딕" w:hAnsi="맑은 고딕" w:eastAsia="맑은 고딕" w:cs="맑은 고딕"/>
        </w:rPr>
        <w:t>각 엣지에 담기는 정보: 출처 · 라이선스 · 취득 방법 · 용도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한 나라의 법적 의무를 국제 표준의 언어로 옮겼습니다. 대한민국은 신뢰가 국경을 넘는 첫걸음입니다.</w:t>
            </w:r>
          </w:p>
        </w:tc>
      </w:tr>
    </w:tbl>
    <w:p>
      <w:pPr>
        <w:spacing w:after="40"/>
      </w:pPr>
    </w:p>
    <w:p>
      <w:pPr>
        <w:pStyle w:val="Heading2"/>
      </w:pPr>
      <w:r>
        <w:t>5-2. 왜 공급망의 「끝」까지 추적해야 하는가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단계</w:t>
            </w:r>
          </w:p>
        </w:tc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무엇</w:t>
            </w:r>
          </w:p>
        </w:tc>
        <w:tc>
          <w:tcPr>
            <w:tcW w:type="dxa" w:w="6236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무슨 일이 일어났나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시작점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Bibliotik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비공개 트래커 —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불법 저작물 도서 유통 사이트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복제</w:t>
            </w:r>
          </w:p>
        </w:tc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Books3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여기서 스크래핑해 만들어진 도서 컬렉션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재포장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The Pile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이를 포함한 오픈 데이터셋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재라벨링</w:t>
            </w:r>
          </w:p>
        </w:tc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RedPajama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다운스트림 코퍼스,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Permissive 라이선스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전부 상속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어떤 모델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「오픈」 데이터로 학습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중복 제거와 필터링은 데이터를 더 깨끗하게 만들 뿐, 그 출처를 알려주지는 않는다.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모든 단계가 기술적으로는 정당했지만, 최종 모델에 이르렀을 때 진짜 출처는 네 단계 위 데이터셋에 묻혀 상위 라벨에서는 전혀 보이지 않는다.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결함은 최종 데이터셋에 있지 않습니다. 아무도 더 이상 들여다보지 않는 그 출발점에 있습니다.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왜 이런 체인이 생기는가 — A 개발자가 미국에서 학습데이터를 배포하면, 지구 반대편 인도의 개발자가 그걸 받아 「이 데이터셋 좋네, 여기에 뉴욕타임스 에디션을 좀 포함시켜 재배포해볼까」 한다. 이런 식으로 데이터셋이 합쳐지고, 분할되고, 증류되고, 재배포되는 현상이 무한히 반복된다. 그리고 이것이 Anthropic이 거액을 배상하게 된 바로 그 데이터셋 계보다.</w:t>
      </w:r>
    </w:p>
    <w:p>
      <w:pPr>
        <w:pStyle w:val="Heading2"/>
      </w:pPr>
      <w:r>
        <w:t>5-3. 21%만 살아남았다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스스로 「상업적 이용 가능」이라 밝힌 2,852개 데이터셋을 모든 하위 소스까지 추적한 결과: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51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기준</w:t>
            </w:r>
          </w:p>
        </w:tc>
        <w:tc>
          <w:tcPr>
            <w:tcW w:type="dxa" w:w="45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라벨 기준 (최상단이 말한 그대로)</w:t>
            </w:r>
          </w:p>
        </w:tc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2,852개</w:t>
            </w:r>
          </w:p>
        </w:tc>
      </w:tr>
      <w:tr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추적 이후 (공급망을 실제로 따라간 결과)</w:t>
            </w:r>
          </w:p>
        </w:tc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605개 (21.2%)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리스크 등급: A-1 &gt; A-2 &gt; A-3 (상업적 이용 가능) &gt; B-1 &gt; B-2 (연구 목적 한정) &gt; C-1 &gt; C-2 (이용 불가)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이 숫자는 누구도 탓하지 않습니다. 우리가 얼마나 몰랐는지를 보여 줍니다. 우리가 「오픈」이라 부르는 것의 78.8%는 단 한 번도 그 사슬이 추적된 적이 없습니다. 배포자도, 사용자도 하지 않았습니다. 그것을 해낼 도구를 만들기 전까지는 우리도 하지 않았습니다.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i w:val="0"/>
          <w:color w:val="1F3B73"/>
          <w:sz w:val="20"/>
          <w:rFonts w:ascii="맑은 고딕" w:hAnsi="맑은 고딕" w:eastAsia="맑은 고딕" w:cs="맑은 고딕"/>
        </w:rPr>
        <w:t xml:space="preserve">FineVision 추적 사례 — 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개발자들은 「이 데이터셋은 Apache / MIT / CC-BY 4.0으로 배포되어 있으니 써도 문제없겠죠?」라고 법무팀에 묻는다. 그래서 FineVision이라는 단일 데이터셋 하나를 에이전트로 끝까지 추적해봤다.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그 아래에 약 </w:t>
      </w:r>
      <w:r>
        <w:rPr>
          <w:b/>
          <w:i w:val="0"/>
          <w:sz w:val="20"/>
          <w:rFonts w:ascii="맑은 고딕" w:hAnsi="맑은 고딕" w:eastAsia="맑은 고딕" w:cs="맑은 고딕"/>
        </w:rPr>
        <w:t>3,000개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의 서로 다른 라이선스 텀이 존재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그중에는 </w:t>
      </w:r>
      <w:r>
        <w:rPr>
          <w:b/>
          <w:i w:val="0"/>
          <w:sz w:val="20"/>
          <w:rFonts w:ascii="맑은 고딕" w:hAnsi="맑은 고딕" w:eastAsia="맑은 고딕" w:cs="맑은 고딕"/>
        </w:rPr>
        <w:t>「이 데이터를 절대 AI 학습에 사용하지 마세요」</w:t>
      </w:r>
      <w:r>
        <w:rPr>
          <w:b w:val="0"/>
          <w:i w:val="0"/>
          <w:sz w:val="20"/>
          <w:rFonts w:ascii="맑은 고딕" w:hAnsi="맑은 고딕" w:eastAsia="맑은 고딕" w:cs="맑은 고딕"/>
        </w:rPr>
        <w:t>, 「non-commercial 용도로만 사용 가능」 같은 조건이 다수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이미 소송에 걸려 있거나 판결을 앞둔 </w:t>
      </w:r>
      <w:r>
        <w:rPr>
          <w:b/>
          <w:i w:val="0"/>
          <w:sz w:val="20"/>
          <w:rFonts w:ascii="맑은 고딕" w:hAnsi="맑은 고딕" w:eastAsia="맑은 고딕" w:cs="맑은 고딕"/>
        </w:rPr>
        <w:t>위험 데이터셋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도 포함</w:t>
      </w:r>
    </w:p>
    <w:p>
      <w:pPr>
        <w:spacing w:before="120" w:after="40"/>
      </w:pPr>
      <w:r>
        <w:rPr>
          <w:b/>
          <w:i w:val="0"/>
          <w:color w:val="1F3B73"/>
          <w:sz w:val="20"/>
          <w:rFonts w:ascii="맑은 고딕" w:hAnsi="맑은 고딕" w:eastAsia="맑은 고딕" w:cs="맑은 고딕"/>
        </w:rPr>
        <w:t>개발자들은 출처를 알고 쓰는가? — 아니다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이게 SNS의 「좋아요」와 같습니다.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허깅페이스의 Most Downloaded / Most Liked 목록이 그 역할을 한다. 「이 데이터를 썼더니 성능이 많이 올라간다」는 좋아요가 쌓인 데이터셋이 널리 쓰이고, 출처는 추적되지 않는다. 그래서 위험한 데이터셋인지 — 심지어 악용 데이터가 섞여 있는지 — 전혀 모르는 상태로, 벤치마크 성능에 도움 되는 데이터셋 위주로 사용·배포되고 있다.</w:t>
      </w:r>
    </w:p>
    <w:p>
      <w:pPr>
        <w:pStyle w:val="Heading2"/>
      </w:pPr>
      <w:r>
        <w:t>5-4. 노력의 문제가 아니라 규모의 문제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데이터셋 하나를 정직하게 검토하려면: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1.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검토 대상 데이터셋 확인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2.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루트 데이터셋의 라이선스 조건 분석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3.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루트 데이터셋 내 모든 하위 소스 발견 (메타데이터 파싱 → 중첩 하위 소스 추출)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4.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개별 하위 소스별 조건 분석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5.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하위의 하위 소스까지 재귀적으로 추적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6.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최하위 소스의 조건까지 평가 → 라이선스를 종합해 총체적 리스크 평가 → AI 데이터 리스크 등급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사람의 속도로는 끝에 닿을 수 없습니다. 게을러서가 아니라, 숫자가 허락하지 않기 때문입니다.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규모의 실체 — 데이터셋 하나 안에 서로 다른 라이선스 노드가 많은 경우 1만 8천 개까지 병존한다. 이걸 전부 수집하고 노드별로 평가해야만 최종 AI 데이터 리스크 등급을 낼 수 있다.</w:t>
      </w:r>
    </w:p>
    <w:p>
      <w:pPr>
        <w:pStyle w:val="Heading2"/>
      </w:pPr>
      <w:r>
        <w:t>5-5. 그래서 에이전트로 풀었다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단계</w:t>
            </w:r>
          </w:p>
        </w:tc>
        <w:tc>
          <w:tcPr>
            <w:tcW w:type="dxa" w:w="822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하는 일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1. 읽기</w:t>
            </w:r>
          </w:p>
        </w:tc>
        <w:tc>
          <w:tcPr>
            <w:tcW w:type="dxa" w:w="822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데이터셋 카드를 연다. 선언된 모든 소스를 추출한다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2. 추적</w:t>
            </w:r>
          </w:p>
        </w:tc>
        <w:tc>
          <w:tcPr>
            <w:tcW w:type="dxa" w:w="822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각 소스를 따라간다.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아래에 아무것도 남지 않을 때까지 재귀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한다. 개발자가 논문·개인 블로그·허깅페이스 페이지에 남긴 단서까지 웹을 돌아다니며 뒤진다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3. 평가</w:t>
            </w:r>
          </w:p>
        </w:tc>
        <w:tc>
          <w:tcPr>
            <w:tcW w:type="dxa" w:w="822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맨 위가 아니라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공급망 전체를 평가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한다. 각 소스 노드의 라이선스 텀을 수집해 「사용 가능」인지 「AI 학습 금지 조항이 있는지」를 판단한다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측정</w:t>
            </w:r>
          </w:p>
        </w:tc>
        <w:tc>
          <w:tcPr>
            <w:tcW w:type="dxa" w:w="737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수작업 대비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45배 더 빠르게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전문가 대비</w:t>
            </w:r>
          </w:p>
        </w:tc>
        <w:tc>
          <w:tcPr>
            <w:tcW w:type="dxa" w:w="737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26% 더 정확하게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우리는 판단을 자동화한 것이 아닙니다. 추적하는 일을 자동화했을 뿐이고, 그것은 애초에 판단이 아니었습니다.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이 체계는 LG AI연구원 내부를 넘어 LG DX 그룹에도 배포되었고, 국내 로펌들과 협업해 복잡하게 트리화된 학습데이터의 평가 기준을 만들고 있다.</w:t>
      </w:r>
    </w:p>
    <w:p>
      <w:pPr>
        <w:pStyle w:val="Heading2"/>
      </w:pPr>
      <w:r>
        <w:t>5-6. 추적의 끝에서 드러나는 것 — UltraFeedback 사례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INPUT: openbmb/UltraFeedback (Dataset, Text, License: MIT). 14개 기준(데이터 라이선스의 존재, 산출물에 대한 권리, 알려진 분쟁 등)으로 스코어링.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평가</w:t>
            </w:r>
          </w:p>
        </w:tc>
        <w:tc>
          <w:tcPr>
            <w:tcW w:type="dxa" w:w="6236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Individual Assessment (A-3)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상업적 이용 가능 (Low Risk) —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최상단 노드만 보면 MIT 오픈소스</w:t>
            </w:r>
          </w:p>
        </w:tc>
      </w:tr>
      <w:tr>
        <w:tc>
          <w:tcPr>
            <w:tcW w:type="dxa" w:w="34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Aggregate Assessment (C-2)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Common Crawl과 GPT-4를 사용했기 때문에 상업적·내부 이용 모두 불가 (High Risk)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19"/>
          <w:rFonts w:ascii="맑은 고딕" w:hAnsi="맑은 고딕" w:eastAsia="맑은 고딕" w:cs="맑은 고딕"/>
        </w:rPr>
        <w:t>의존 체인: UltraFeedback ← GPT-4 / UltraChat / ShareGPT / Evol-Instruct ← ChatGPT Turbo API / C4 Dataset / dolly-15k / Falcon 40B ← Common Crawl / Wikipedia / Databricks employees…</w:t>
      </w: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※ 의존 대상의 등급이 파생물보다 낮은 역전(inversion)이 발생하는 지점에서 오류가 드러난다. 등급 체계는 A = 안전(상업적 이용 가능) ↔ C = 위험(이용 불가).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법적 리스크는 데이터 라이프사이클 추적을 통해서만 탐지 가능합니다.</w:t>
            </w:r>
          </w:p>
        </w:tc>
      </w:tr>
    </w:tbl>
    <w:p>
      <w:pPr>
        <w:spacing w:after="40"/>
      </w:pPr>
    </w:p>
    <w:p>
      <w:pPr>
        <w:pStyle w:val="Heading2"/>
      </w:pPr>
      <w:r>
        <w:t>5-7. K-AI BOM은 공급망 전체를 따라 이동한다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주체</w:t>
            </w:r>
          </w:p>
        </w:tc>
        <w:tc>
          <w:tcPr>
            <w:tcW w:type="dxa" w:w="793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역할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데이터셋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자신의 출처와 계보를 선언한다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모델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이를 상속하고 자신의 기록을 더한다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서비스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모델과 그 기록을 함께 제공한다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사용자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무엇을 실행하고 있는지 검증할 수 있다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이해관계는 달라도, 근거는 하나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네 주체가 원하는 바는 서로 다르지만, 이제는 같은 기록 위에서 각자 스스로 판단하고 결정할 수 있다.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하나의 기록, 여러 개의 결정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누구도 다른 사람의 판단을 받아들일 필요는 없다. 같은 것을 볼 수 있고, 그다음 스스로 결정할 수 있으면 충분하다.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/>
                <w:sz w:val="20"/>
                <w:rFonts w:ascii="맑은 고딕" w:hAnsi="맑은 고딕" w:eastAsia="맑은 고딕" w:cs="맑은 고딕"/>
              </w:rPr>
              <w:t>몇 년 후에는 우리 집에도 가사 로봇이 있고 길거리에도 로봇이 걸어 다닐 것 같습니다. AI 로봇이 나를 때린다면, 나는 누구에게 소송을 걸어야 합니까? AI 배포자인가, 로봇을 만든 사람인가, 아니면 데이터셋을 무단으로 여러 번 재배포한 사람인가? 공급망에서 학습데이터와 AI 모델이 다음 이해관계자에게 전달될 때 증빙 가능한 정보가 함께 들어간다면, 그 판단의 근거가 됩니다.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K-AI BOM 현황 — SPDX를 차용한 한국형 AI-BOM으로 개발 중이며 NIPA 과제를 통해 수행. 별도로 학습데이터를 직접 추적해볼 수 있는 플랫폼도 제공 중이다. 목적은 사후 수습이 아니라 사전 대처 — 다 만들어놓고 나서 거액짜리 데이터셋을 썼다는 걸 알게 되는 상황을 막는 것.</w:t>
      </w:r>
    </w:p>
    <w:p>
      <w:r>
        <w:br w:type="page"/>
      </w:r>
    </w:p>
    <w:p>
      <w:pPr>
        <w:pStyle w:val="Heading1"/>
      </w:pPr>
      <w:r>
        <w:t>6. 외부 검증 — 웹 리서치 팩트체크</w:t>
      </w: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발표 내용을 1차 자료와 대조한 결과다 (2026-09-07 검색 기준).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발표 내용</w:t>
            </w:r>
          </w:p>
        </w:tc>
        <w:tc>
          <w:tcPr>
            <w:tcW w:type="dxa" w:w="56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공개 자료로 확인한 것</w:t>
            </w:r>
          </w:p>
        </w:tc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판정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「Bartz v. Anthropic 합의금 약 2조 원」</w:t>
            </w:r>
          </w:p>
        </w:tc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$1.5B(15억 달러)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합의. 약 50만 건의 저작물 대상,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작품당 약 $3,000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, 해적판 데이터셋 폐기 의무, 120일 옵트아웃. 미국 사상 최대 규모 저작권 합의 [1][2][3]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맞음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Bartz 4요소 표 (①O ②O ③X)</w:t>
            </w:r>
          </w:p>
        </w:tc>
        <w:tc>
          <w:tcPr>
            <w:tcW w:type="dxa" w:w="56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Alsup 판사는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적법 취득 도서로 학습한 것은 공정이용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이라 했으나, 해적 사이트에서 내려받아 중앙 라이브러리에 보관한 부분은 공정이용을 인정하지 않았다. Anthropic은 Books3·LibGen·PiLiMi 등에서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700만 권 이상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을 내려받았다 [1][2][3]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맞음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「GEMA v. OpenAI 독일에서 OpenAI 완패」</w:t>
            </w:r>
          </w:p>
        </w:tc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2025-11-11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뮌헨 지방법원 I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, OpenAI가 독일 저명 아티스트의 저작권을 침해했다고 판결. 부작위·손해배상·정보제공 명령 [4][5][6]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맞음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「Getty Images v. Stability AI — 피고 승」</w:t>
            </w:r>
          </w:p>
        </w:tc>
        <w:tc>
          <w:tcPr>
            <w:tcW w:type="dxa" w:w="56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2025-11-04 영국 고등법원.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2차적 침해 주장 기각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모델 가중치가 원저작물을 저장하지 않으므로 「침해 복제물」이 아님. 단,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Getty가 재판 중 학습 과정 침해·산출물 침해 주장을 스스로 철회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[7][8]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결론은 맞음 (표현 주의)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「Thomson Reuters v. ROSS — 원고 승」</w:t>
            </w:r>
          </w:p>
        </w:tc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2025-02 델라웨어 연방법원, 헤드노트 2,243건 직접침해 인정 + 공정이용 항변 배척.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단, 제3연방항소법원 항소 진행 중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(2025-06 상고 허가, 2026-07 구두변론) [9][10]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확정된 법리 아님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「K-EXAONE 2.0 = 750B, 오픈소스」</w:t>
            </w:r>
          </w:p>
        </w:tc>
        <w:tc>
          <w:tcPr>
            <w:tcW w:type="dxa" w:w="56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LG AI연구원이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7,500억(750B) 파라미터 K-EXAONE 2.0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을 공개, 상업적 활용 가능하도록 오픈소스로 전면 개방 [11]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맞음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「GEMA v. Suno 독일 연쇄 패소(2026)」</w:t>
            </w:r>
          </w:p>
        </w:tc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이번 검색으로는 확인하지 못함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미검증</w:t>
            </w:r>
          </w:p>
        </w:tc>
      </w:tr>
    </w:tbl>
    <w:p>
      <w:pPr>
        <w:spacing w:after="40"/>
      </w:pPr>
    </w:p>
    <w:p>
      <w:pPr>
        <w:pStyle w:val="Heading2"/>
      </w:pPr>
      <w:r>
        <w:t>6-1. 「라벨을 믿지 마라」에 대한 독립적 근거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LG의 2,852 → 605(21.2%)는 자체 산출이라 외부 검증이 안 된다. 그런데 같은 현상을 다른 팀이 독립적으로 측정한 연구가 있다 — Data Provenance Initiative (MIT 등, Nature Machine Intelligence 게재) [12][13].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측정 항목</w:t>
            </w:r>
          </w:p>
        </w:tc>
        <w:tc>
          <w:tcPr>
            <w:tcW w:type="dxa" w:w="737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감사 대상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44개 instruction/alignment 컬렉션,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1,858개 개별 데이터셋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의 계보 추적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라이선스 누락률</w:t>
            </w:r>
          </w:p>
        </w:tc>
        <w:tc>
          <w:tcPr>
            <w:tcW w:type="dxa" w:w="737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GitHub·허깅페이스 인기 데이터셋의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70% 이상이 「unspecified」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라이선스 오류율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50% 이상.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허깅페이스 라이선스의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66%가 실제와 다른 이용 카테고리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오류의 방향</w:t>
            </w:r>
          </w:p>
        </w:tc>
        <w:tc>
          <w:tcPr>
            <w:tcW w:type="dxa" w:w="737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대부분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원저자의 실제 라이선스보다 더 관대(permissive)하게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표기됨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개선 결과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미지정 라이선스를 72% →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30%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로 낮추고 라이선스 URL 부착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「허깅페이스 라벨이 실제보다 더 관대한 쪽으로 틀린다」는 것은, UltraFeedback 사례(MIT라 적혀 있으나 실제는 C-2)가 예외가 아니라 구조적 패턴임을 뜻한다. LG의 21.2%와 DPI의 66% 오분류는 서로 다른 방법론으로 같은 방향을 가리킨다.</w:t>
            </w:r>
          </w:p>
        </w:tc>
      </w:tr>
    </w:tbl>
    <w:p>
      <w:pPr>
        <w:spacing w:after="40"/>
      </w:pPr>
    </w:p>
    <w:p>
      <w:pPr>
        <w:pStyle w:val="Heading2"/>
      </w:pPr>
      <w:r>
        <w:t>6-2. AI-BOM 표준의 현재 위치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SPDX 3.0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은 </w:t>
      </w:r>
      <w:r>
        <w:rPr>
          <w:b/>
          <w:i w:val="0"/>
          <w:sz w:val="20"/>
          <w:rFonts w:ascii="맑은 고딕" w:hAnsi="맑은 고딕" w:eastAsia="맑은 고딕" w:cs="맑은 고딕"/>
        </w:rPr>
        <w:t>2024-04-16 정식 릴리스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되었고, </w:t>
      </w:r>
      <w:r>
        <w:rPr>
          <w:b/>
          <w:i w:val="0"/>
          <w:sz w:val="20"/>
          <w:rFonts w:ascii="맑은 고딕" w:hAnsi="맑은 고딕" w:eastAsia="맑은 고딕" w:cs="맑은 고딕"/>
        </w:rPr>
        <w:t>AI Profile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과 </w:t>
      </w:r>
      <w:r>
        <w:rPr>
          <w:b/>
          <w:i w:val="0"/>
          <w:sz w:val="20"/>
          <w:rFonts w:ascii="맑은 고딕" w:hAnsi="맑은 고딕" w:eastAsia="맑은 고딕" w:cs="맑은 고딕"/>
        </w:rPr>
        <w:t>Dataset Profile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을 분리해 담았다 [14][15]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산업계·학계 워킹그룹이 모델 카드·데이터시트·팩트시트를 분석해 두 프로파일에 걸쳐 </w:t>
      </w:r>
      <w:r>
        <w:rPr>
          <w:b/>
          <w:i w:val="0"/>
          <w:sz w:val="20"/>
          <w:rFonts w:ascii="맑은 고딕" w:hAnsi="맑은 고딕" w:eastAsia="맑은 고딕" w:cs="맑은 고딕"/>
        </w:rPr>
        <w:t>36개 필드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를 선정 [14][15]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이 프레임워크는 </w:t>
      </w:r>
      <w:r>
        <w:rPr>
          <w:b/>
          <w:i w:val="0"/>
          <w:sz w:val="20"/>
          <w:rFonts w:ascii="맑은 고딕" w:hAnsi="맑은 고딕" w:eastAsia="맑은 고딕" w:cs="맑은 고딕"/>
        </w:rPr>
        <w:t>EU AI Act, FDA 의료기기 규제 등 규제 요건에 매핑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되도록 설계되었고, 기존 SPDX 툴체인과 호환된다 [14][15]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Linux Foundation Research가 실무 가이드를 공개 [14][16]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→ 발표의 표현은 정확하다. 스펙에는 데이터셋 계보를 담을 필드가 이미 있다. 없는 것은 그 필드를 채울 데이터이고, LG가 만든 것은 표준이 아니라 그 필드를 채우는 에이전트다. 다만 SPDX 3.0의 Dataset Profile은 「이 데이터셋이 무엇인가」를 기술하는 데는 충분하지만 「어디서 왔는가」를 재귀적으로 강제하지는 않는다 — 발표가 지목한 빈칸이 정확히 여기다.</w:t>
      </w:r>
    </w:p>
    <w:p>
      <w:r>
        <w:br w:type="page"/>
      </w:r>
    </w:p>
    <w:p>
      <w:pPr>
        <w:pStyle w:val="Heading1"/>
      </w:pPr>
      <w:r>
        <w:t>7. 우리 팀에서 바로 쓸 것</w:t>
      </w:r>
    </w:p>
    <w:p>
      <w:pPr>
        <w:pStyle w:val="Heading2"/>
      </w:pPr>
      <w:r>
        <w:t>7-1. 규제 데드라인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관할</w:t>
            </w:r>
          </w:p>
        </w:tc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근거</w:t>
            </w:r>
          </w:p>
        </w:tc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시점</w:t>
            </w:r>
          </w:p>
        </w:tc>
        <w:tc>
          <w:tcPr>
            <w:tcW w:type="dxa" w:w="425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요구 사항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한국</w:t>
            </w:r>
          </w:p>
        </w:tc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AI 기본법 + 시행령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2026-01-22 시행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고영향 AI·생성형 AI 기반이라는 사실의 사전 고지 등.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규제 적용은 최소 1년 이상 유예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되며 유예 기간에는 계도 중심 운영 [17][18]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EU</w:t>
            </w:r>
          </w:p>
        </w:tc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AI Act 제53조(1)(d)</w:t>
            </w:r>
          </w:p>
        </w:tc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의무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2025-08-02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, 집행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2026-08-02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, 기존 모델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2027-08-02</w:t>
            </w:r>
          </w:p>
        </w:tc>
        <w:tc>
          <w:tcPr>
            <w:tcW w:type="dxa" w:w="425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AI Office 공식 템플릿(2025-07-24 공개)으로 학습 콘텐츠 요약 공개.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오픈소스·무료 라이선스 모델도 대상.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위반 시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최대 1,500만 유로 또는 전 세계 매출 3%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중 큰 금액 [19][20][21]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미국(캘리포니아)</w:t>
            </w:r>
          </w:p>
        </w:tc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AB 2013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2026-01-01 시행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2022-01-01 이후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공개된 생성형 AI에 대해 학습 데이터셋 요약을 웹사이트에 사전 게시, 중대 변경 시 갱신.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12개 항목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(출처·소유자, 데이터 포인트 수, 저작물·개인정보 포함 여부 등).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영업비밀 예외 없음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→ xAI가 위헌 소송 제기 [22][23][24]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한국(저작권법)</w:t>
            </w:r>
          </w:p>
        </w:tc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TDM 면책 조항</w:t>
            </w:r>
          </w:p>
        </w:tc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미입법</w:t>
            </w:r>
          </w:p>
        </w:tc>
        <w:tc>
          <w:tcPr>
            <w:tcW w:type="dxa" w:w="425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AI 학습 목적 복제를 조건부 허용하는 개정안이 발의됐으나 국회 미통과. 한편 문체부는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학습데이터 목록 공개 의무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를 포함한 개정을 예고 [25][26]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여기서 발표의 논지가 강화된다 — EU는 「요약을 공개하라」, 캘리포니아는 「출처·소유자·저작물 포함 여부를 12개 항목으로 공개하라」고 한다. 그런데 UltraFeedback을 끝까지 추적해야 그 답이 A-3이 아니라 C-2라는 걸 알 수 있다. 즉 추적 없이는 공시 자체가 부정확한 진술이 된다.</w:t>
            </w:r>
          </w:p>
        </w:tc>
      </w:tr>
    </w:tbl>
    <w:p>
      <w:pPr>
        <w:spacing w:after="40"/>
      </w:pPr>
    </w:p>
    <w:p>
      <w:pPr>
        <w:pStyle w:val="Heading2"/>
      </w:pPr>
      <w:r>
        <w:t>7-2. 실행 체크리스트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1. 라벨을 그대로 믿지 않는다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MIT·Apache·CC-BY 같은 최상단 라벨과 실제 상속 리스크는 다를 수 있다. 근거는 LG 하나가 아니다 — DPI 감사에서 허깅페이스 라이선스의 66%가 오분류, 그것도 더 관대한 쪽으로.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2. 벤더 계약서에 학습데이터 고지 조항을 넣는다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출처 · 라이선스 · 취득 방법 · 용도. 표준 언어로 SPDX 3.0 AI/Dataset Profile(36개 필드)을 지목하면 협상이 쉬워진다.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3. 규제 캘린더를 데드라인으로 관리한다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한국 2026-01-22(유예 1년+), EU 집행 2026-08-02, 캘리포니아 2026-01-01. 오픈소스로 배포해도 EU 의무는 면제되지 않는다.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4. 「인기 = 안전」이 아님을 팀 규칙으로 못 박는다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허깅페이스의 Most Downloaded / Most Liked는 벤치마크 성능 신호이지 법적 안전 신호가 아니다.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5. 취득 방법을 기록 항목으로 승격한다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Bartz가 증명한 것은 「학습했는가」가 아니라 「어떻게 취득했는가가 배상액의 크기를 정한다」는 것. 데이터 수집 파이프라인에 「어디서, 어떤 권한으로 받았는가」를 남기는 로깅이 사후 방어의 유일한 증거다.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6. 추적은 자동화하되, 판단은 사람이 한다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LG의 방식이 그대로 참고 모델이다 — 에이전트로 재귀 추적(수작업 대비 45배, 전문가 대비 26% 더 정확), 최종 의사결정권은 인간. 판단까지 자동화하면 그 판단 자체가 새로운 미기록 리스크가 된다.</w:t>
      </w:r>
    </w:p>
    <w:p>
      <w:pPr>
        <w:pStyle w:val="Heading2"/>
      </w:pPr>
      <w:r>
        <w:t>7-3. 무신사 세션(같은 날)과 이어 읽기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</w:r>
          </w:p>
        </w:tc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무신사 (길기용)</w:t>
            </w:r>
          </w:p>
        </w:tc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LG AI연구원 (조정원)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관점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도입 판단 — 살까 / 만들까 / 안 할까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공급망 신뢰 — 무엇으로 만들어졌는지 증명 가능한가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언제 기록하나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시작 전에 「멈출 기준」을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계약서보다 먼저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학습 전에 데이터 계보를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문장이 아닌 그래프로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자동화한 것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판단이 아니라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검증 절차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(가드레일 지표)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판단이 아니라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추적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(에이전트)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자동화하지 않은 것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환불·보상 판정, 분쟁 소지 확인 → 100% 사람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최종 법적 판단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→ 100% 사람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공통점</w:t>
            </w:r>
          </w:p>
        </w:tc>
        <w:tc>
          <w:tcPr>
            <w:tcW w:type="dxa" w:w="7938"/>
            <w:gridSpan w:val="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둘 다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「기록되지 않은 것은 판단할 수 없다」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사후 논쟁을 없애기 위해 사전에 기준·기록을 문서로 확정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무신사가 외부 업체 계약에 건 조건 ③ 「어떤 LLM으로 바꾸더라도 돌아가는 구조」는 벤더 종속 방지책이지만, LG의 관점에서 읽으면 모델 계보를 우리가 통제하겠다는 선언이기도 하다. 반대로 LG가 말한 「구매 부서는 이제 SBOM을 요구하듯 데이터 출처를 요구한다」는, 무신사식 TCO 계산서에 새 비용 항목이 하나 추가된다는 뜻이다 — 벤더의 학습데이터 계보를 검증하는 비용.</w:t>
      </w:r>
    </w:p>
    <w:p>
      <w:r>
        <w:br w:type="page"/>
      </w:r>
    </w:p>
    <w:p>
      <w:pPr>
        <w:pStyle w:val="Heading1"/>
      </w:pPr>
      <w:r>
        <w:t>8. 인용할 때 주의할 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708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주의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GEMA v. Suno 독일 판결(2026)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웹 검색으로 확인하지 못했다.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인용 시 「발표자 언급」 단서를 달 것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Thomson Reuters v. ROSS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1심은 원고 승이지만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제3연방항소법원 항소 진행 중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(2026-07 구두변론). 「확정된 법리」로 인용하면 안 된다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Getty Images v. Stability AI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「AI사가 이겼다」보다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「Getty가 두 개의 핵심 주장을 스스로 철회했고 남은 2차적 침해 주장도 기각됐다」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가 정확하다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2,852 → 605 (21.2%)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LG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자체 추적 결과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이며 방법론이 공개되지 않았다. 다만 Data Provenance Initiative의 독립 감사가 같은 방향을 가리킨다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분쟁 130~150건 / 100건 이상 진행 중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발표자 집계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. 공개 통계로 교차 확인하지 못했다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리스크 등급 분포 (A-1~C-2)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PDF 텍스트 추출 시 두 계열의 숫자가 뒤섞여 나온다. 인용하려면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원본 슬라이드 p.22 이미지를 직접 확인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할 것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평가 기준 개수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발표 슬라이드는 UltraFeedback 스코어링에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14개 기준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, 공개 자료는 데이터 컴플라이언스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18개 기준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을 말한다. 서로 다른 시점/층위로 보이므로 인용 시 출처를 명시할 것</w:t>
            </w:r>
          </w:p>
        </w:tc>
      </w:tr>
    </w:tbl>
    <w:p>
      <w:pPr>
        <w:spacing w:after="40"/>
      </w:pPr>
    </w:p>
    <w:p>
      <w:pPr>
        <w:spacing w:before="80" w:after="160"/>
        <w:pBdr>
          <w:bottom w:val="single" w:sz="6" w:space="1" w:color="C6CCD8"/>
        </w:pBdr>
      </w:pPr>
    </w:p>
    <w:p>
      <w:pPr>
        <w:pStyle w:val="Heading2"/>
      </w:pPr>
      <w:r>
        <w:t>출처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[1] What to Know About the $1.5 Billion Bartz v. Anthropic Settlement — Copyright Alliance  https://copyrightalliance.org/participating-bartz-v-anthropic-settlement/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[2] Bartz v. Anthropic Settlement: What Authors Need to Know — The Authors Guild  https://authorsguild.org/advocacy/artificial-intelligence/what-authors-need-to-know-about-the-anthropic-settlement/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[3] The Bartz v. Anthropic Settlement — Kluwer Copyright Blog  https://legalblogs.wolterskluwer.com/copyright-blog/the-bartz-v-anthropic-settlement-understanding-americas-largest-copyright-settlement/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[4] GEMA vs. OpenAI: Landmark ruling — Heuking  https://www.heuking.de/en/news-events/newsletter-articles/detail/gema-vs-openai-landmark-ruling-on-ai-language-models-and-copyright-law.html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[5] Landmark ruling of the Munich Regional Court (GEMA v OpenAI) — Bird &amp; Bird  https://www.twobirds.com/en/insights/2025/landmark-ruling-of-the-munich-regional-court-(gema-v-openai)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[6] German court rules in favour of GEMA against OpenAI — EU IP Helpdesk  https://intellectual-property-helpdesk.ec.europa.eu/news-events/news/german-court-rules-favour-music-rights-management-organisation-against-openai-nyt-vs-openai-dispute-2025-11-14_en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[7] Stability AI defeats Getty Images copyright claims — Bird &amp; Bird  https://www.twobirds.com/en/insights/2025/uk/stability-ai-defeats-getty-images-copyright-claims-in-first-of-its-kind-dispute-before-the-high-cour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[8] Getty Images v. Stability AI: English High Court Rejects Secondary Copyright Claim — Latham &amp; Watkins  https://www.lw.com/en/insights/getty-images-v-stability-ai-english-high-court-rejects-secondary-copyright-claim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[9] Court Decides that Use of Copyrighted Works in AI Training Is Not Fair Use — Jenner &amp; Block  https://www.jenner.com/en/news-insights/client-alerts/court-decides-that-use-of-copyrighted-works-in-ai-training-is-not-fair-use-thomson-reuters-enterprise-centre-gmbh-v-ross-intelligence-inc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[10] Third Circuit Hears Oral Argument in Ross v. Reuters — Baker Botts  https://www.bakerbotts.com/thought-leadership/publications/2026/july/third-circuit-hears-oral-argument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[11] LG AI연구원, 7500억개 파라미터 'K-엑사원 2.0' 공개 — 천지일보  https://www.newscj.com/news/articleView.html?idxno=3421513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[12] The Data Provenance Initiative: A Large Scale Audit of Dataset Licensing &amp; Attribution in AI (arXiv:2310.16787)  https://arxiv.org/pdf/2310.16787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[13] A large-scale audit of dataset licensing and attribution in AI — Nature Machine Intelligence  https://www.nature.com/articles/s42256-024-00878-8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[14] Implementing AI Bill of Materials (AI BOM) with SPDX 3.0 — Linux Foundation Research  https://www.linuxfoundation.org/hubfs/LF%20Research/lfr_spdx_aibom_102524a.pdf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[15] Implementing AI BOM with SPDX 3.0 — 논문 개요 (alphaXiv 2504.16743)  https://www.alphaxiv.org/overview/2504.16743v1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[16] Implementing an AI BOM — SPDX  https://spdx.dev/implementing-an-ai-bom/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[17] AI 기본법 시행과 그 시사점 — 법률신문 / 법무법인 세종  https://www.lawtimes.co.kr/news/articleView.html?idxno=216500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[18] 인공지능 발전과 신뢰 기반 조성 등에 관한 기본법 — 국가법령정보센터  https://www.law.go.kr/lsInfoP.do?lsiSeq=268543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[19] European Commission Releases Mandatory Template for Public Disclosure of AI Training Data — WilmerHale  https://www.wilmerhale.com/en/insights/blogs/wilmerhale-privacy-and-cybersecurity-law/european-commission-releases-mandatory-template-for-public-disclosure-of-ai-training-data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[20] EU AI Act News: Rules on General-Purpose AI Start Applying — Mayer Brown  https://www.mayerbrown.com/en/insights/publications/2025/08/eu-ai-act-news-rules-on-general-purpose-ai-start-applying-guidelines-and-template-for-summary-of-training-data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[21] EU Commission Publishes Guidelines on General Purpose AI Obligations — Paul, Weiss  https://www.paulweiss.com/insights/client-memos/eu-commission-publishes-guidelines-on-general-purpose-ai-obligations-as-well-as-training-data-disclosure-template-further-clarity-as-the-countdown-to-enforcement-begins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[22] California's AB 2013 Takes Effect — Goodwin  https://www.goodwinlaw.com/en/insights/publications/2026/01/alerts-otherindustries-californias-ab-2013-takes-effect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[23] Generative AI Training Data Transparency Act (AB 2013) — California Legislative Information  https://leginfo.legislature.ca.gov/faces/billTextClient.xhtml?bill_id=202320240AB2013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[24] California's AB 2013 Requires Generative AI Data Disclosure by January 1, 2026 — Crowell &amp; Moring  https://www.crowell.com/en/insights/client-alerts/californias-ab-2013-requires-generative-ai-data-disclosure-by-january-1-2026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[25] AI 학습데이터 저작권 침해와 저작권법 상의 TDM 조항 도입 논의 — NEPLA  https://www.nepla.ai/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[26] 저작권법상 텍스트·데이터 마이닝(TDM) 면책규정 도입 방향의 검토 — 류시원, 법무부  https://www.moj.go.kr/bbs/moj/166/450511/download.do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[27] AI 거버넌스의 패러다임 변화와 LG AI연구원의 선도적 역할 — 공개SW포털  https://www.oss.kr/pages/11/4418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A"/>
        <w:sz w:val="16"/>
        <w:rFonts w:ascii="맑은 고딕" w:hAnsi="맑은 고딕" w:eastAsia="맑은 고딕" w:cs="맑은 고딕"/>
      </w:rPr>
      <w:t xml:space="preserve">AI Infrastructure &amp; Data 2026 · LG AI연구원 세션 정리  |  </w:t>
    </w:r>
    <w:r>
      <w:rPr>
        <w:color w:val="5A606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B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B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2C2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