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BodyText"/>
        <ns0:bidi ns0:val="0"/>
        <ns0:spacing ns0:before="140" ns0:after="140"/>
        <ns0:rPr/>
      </ns0:pPr>
      <ns0:r>
        <ns0:rPr/>
        <ns0:t>SYNTHETIC DEVELOPMENT DRAFT — editable figure caption.</ns0:t>
      </ns0:r>
    </ns0:p>
    <ns0:p>
      <ns0:pPr>
        <ns0:pStyle ns0:val="Heading1"/>
        <ns0:bidi ns0:val="0"/>
        <ns0:rPr/>
      </ns0:pPr>
      <ns0:r>
        <ns0:rPr/>
        <ns0:t>Figure 1. Composition-dependent A−B score comparison</ns0:t>
      </ns0:r>
    </ns0:p>
    <ns0:p>
      <ns0:pPr>
        <ns0:pStyle ns0:val="BodyText"/>
        <ns0:bidi ns0:val="0"/>
        <ns0:rPr/>
      </ns0:pPr>
      <ns0:r>
        <ns0:rPr/>
        <ns0:t>Points show supplied aggregate mean differences, not individual unit observations. Lower score is better: negative A−B favors A, positive A−B favors B. The record contains eight independent paired units, four in g1 and four in g2; technical repetitions were averaged within unit/method after conversion. g1 is −1.00 score and g2 is +3.00. The equal sampled mixture (0.5/0.5) is +1.00; the target mixture (0.8/0.2, fixed before measurement) is −0.20. The horizontal interval on the target point is the supplied 95% within-stratum paired-unit bootstrap percentile interval [−0.60, 0.20], with paired units resampled within stratum and target weights reapplied. No stratum or equal-mixture intervals were supplied, so their points have no error bars. The zero reference marks equality of scores, not a tested equivalence margin. No causal or equivalence interpretation and no significance test or symbols are asserted. The figure is redrawn from the authoritative version 2 result memo; numerical source data and bootstrap outputs are unavailable, so this is a display of reported results rather than independent replication.</ns0:t>
      </ns0:r>
    </ns0:p>
    <ns0:p>
      <ns0:pPr>
        <ns0:pStyle ns0:val="BodyText"/>
        <ns0:bidi ns0:val="0"/>
        <ns0:spacing ns0:before="140" ns0:after="140"/>
        <ns0:rPr/>
      </ns0:pPr>
      <ns0:r>
        <ns0:rPr/>
        <ns0:t>Alt text: Four labeled points share an A−B score axis with a zero reference. g1 is at −1.00, g2 at +3.00, equal sampled mixture at +1.00, and target mixture at −0.20. The target's 95% bootstrap percentile interval extends from −0.60 to +0.20 and crosses zero. The two aggregate points lie on opposite sides of zero.</ns0:t>
      </ns0:r>
    </ns0:p>
    <ns0:sectPr>
      <ns0:type ns0:val="nextPage"/>
      <ns0:pgSz ns0:w="11906" ns0:h="16838"/>
      <ns0:pgMar ns0:left="1134" ns0:right="1134" ns0:gutter="0" ns0:header="0" ns0:top="1134" ns0:footer="0" ns0:bottom="1134"/>
      <ns0:pgNumType ns0:fmt="decimal"/>
      <ns0:formProt ns0:val="false"/>
      <ns0:textDirection ns0:val="lrTb"/>
      <ns0:docGrid ns0:type="default" ns0:linePitch="600" ns0:charSpace="36864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altName w:val="sans-serif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DejaVu Sans;sans-serif" w:hAnsi="DejaVu Sans;sans-serif" w:eastAsia="DejaVu Sans;sans-serif" w:cs="DejaVu Sans;sans-serif"/>
      <w:color w:val="auto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Linux Libertine G" w:cs="Noto Sans"/>
      <w:b/>
      <w:bCs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Linux Libertine G" w:cs="Noto Sans"/>
      <w:b/>
      <w:bCs/>
      <w:sz w:val="22"/>
      <w:szCs w:val="22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List">
    <w:name w:val="List"/>
    <w:basedOn w:val="BodyText"/>
    <w:pPr/>
    <w:rPr>
      <w:rFonts w:cs="Noto Sans"/>
    </w:rPr>
  </w:style>
  <w:style w:type="paragraph" w:styleId="BodyText">
    <w:name w:val="Body Text"/>
    <w:basedOn w:val="Normal"/>
    <w:pPr>
      <w:spacing w:before="140" w:after="140"/>
      <w:ind w:start="140" w:end="14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lockQuotation">
    <w:name w:val="Block Quotation"/>
    <w:basedOn w:val="Normal"/>
    <w:qFormat/>
    <w:pPr>
      <w:spacing w:before="140" w:after="140"/>
      <w:ind w:hanging="0" w:start="200" w:end="200"/>
    </w:pPr>
    <w:rPr>
      <w:color w:val="333333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LibreOfficeDev/26.8.0.0.alpha0$MacOSX_AARCH64 LibreOffice_project/2c87e51eeaa2b413ff4ae097b2705eea1995d8e5</Application>
  <AppVersion>15.0000</AppVersion>
</Properties>
</file>

<file path=docProps/core.xml><?xml version="1.0" encoding="utf-8"?>
<ns0:coreProperties xmlns:dc="http://purl.org/dc/elements/1.1/" xmlns:ns0="http://schemas.openxmlformats.org/package/2006/metadata/core-properties">
  <dc:creator/>
  <dc:description/>
  <dc:language>zh-CN</dc:language>
  <ns0:lastModifiedBy/>
  <ns0:revision>0</ns0:revision>
  <dc:subject/>
  <dc:title>Development draft</dc:title>
</ns0:coreProperties>
</file>

<file path=docProps/custom.xml><?xml version="1.0" encoding="utf-8"?>
<Properties xmlns="http://schemas.openxmlformats.org/officeDocument/2006/custom-properties" xmlns:vt="http://schemas.openxmlformats.org/officeDocument/2006/docPropsVTypes"/>
</file>