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ns0:document xmlns:ns0="http://schemas.openxmlformats.org/wordprocessingml/2006/main" xmlns:ns1="http://schemas.openxmlformats.org/markup-compatibility/2006" ns1:Ignorable="w14 wp14 w15">
  <ns0:body>
    <ns0:p>
      <ns0:pPr>
        <ns0:pStyle ns0:val="BodyText"/>
        <ns0:bidi ns0:val="0"/>
        <ns0:spacing ns0:before="140" ns0:after="140"/>
        <ns0:rPr/>
      </ns0:pPr>
      <ns0:r>
        <ns0:rPr/>
        <ns0:t>SYNTHETIC DEVELOPMENT DRAFT — version-aware correction text; unsent and unpublished.</ns0:t>
      </ns0:r>
    </ns0:p>
    <ns0:p>
      <ns0:pPr>
        <ns0:pStyle ns0:val="Heading1"/>
        <ns0:bidi ns0:val="0"/>
        <ns0:rPr/>
      </ns0:pPr>
      <ns0:r>
        <ns0:rPr/>
        <ns0:t>Proposed correction to the fictional public snapshot v1</ns0:t>
      </ns0:r>
    </ns0:p>
    <ns0:p>
      <ns0:pPr>
        <ns0:pStyle ns0:val="BodyText"/>
        <ns0:bidi ns0:val="0"/>
        <ns0:rPr/>
      </ns0:pPr>
      <ns0:r>
        <ns0:rPr/>
        <ns0:t>Affected object: “SYNTHETIC older public snapshot v1 — preserve verbatim,” supplied as published-snapshot-v1.md. The snapshot is fictional; no real publication, DOI, journal correction or publisher action is asserted. The original file and the local archived copy are preserved byte for byte.</ns0:t>
      </ns0:r>
    </ns0:p>
    <ns0:p>
      <ns0:pPr>
        <ns0:pStyle ns0:val="Heading2"/>
        <ns0:bidi ns0:val="0"/>
        <ns0:rPr/>
      </ns0:pPr>
      <ns0:r>
        <ns0:rPr/>
        <ns0:t>Draft correction notice</ns0:t>
      </ns0:r>
    </ns0:p>
    <ns0:p>
      <ns0:pPr>
        <ns0:pStyle ns0:val="BodyText"/>
        <ns0:bidi ns0:val="0"/>
        <ns0:rPr/>
      </ns0:pPr>
      <ns0:r>
        <ns0:rPr/>
        <ns0:t>The older snapshot reported the target-mixture A−B mean as −0.30 score. The supplied authoritative version 2 result memo reports −0.20, consistent with 0.8 × (−1.00) + 0.2 × 3.00. The target interval remains [−0.60, 0.20]; the g1 and g2 estimates remain −1.00 and +3.00, and the equal sampled-mixture estimate remains +1.00. The source of the older numerical discrepancy is not documented; no new analysis or replicated bootstrap is claimed.</ns0:t>
      </ns0:r>
    </ns0:p>
    <ns0:p>
      <ns0:pPr>
        <ns0:pStyle ns0:val="BodyText"/>
        <ns0:bidi ns0:val="0"/>
        <ns0:rPr/>
      </ns0:pPr>
      <ns0:r>
        <ns0:rPr/>
        <ns0:t>The earlier title and interpretation claiming universal causal advantage and equivalence should be withdrawn. The two stratum point estimates have opposing directions; g2 favors B. The supplied record contains no causal assignment or adjustment, and the interval's inclusion of zero does not establish equivalence. No equivalence margin or registered equivalence test is supplied. The appropriate interpretation is a diagnostic of composition dependence: equal sampled and target mixtures give opposite aggregate point-estimate directions, with uncertainty around the target contrast.</ns0:t>
      </ns0:r>
    </ns0:p>
    <ns0:p>
      <ns0:pPr>
        <ns0:pStyle ns0:val="BodyText"/>
        <ns0:bidi ns0:val="0"/>
        <ns0:rPr/>
      </ns0:pPr>
      <ns0:r>
        <ns0:rPr/>
        <ns0:t>The older statement that open raw data were available should also be withdrawn. The governing fixture license permits local analysis, code and aggregate-result sharing but prohibits redistribution of raw unit-level records and identifiers. No approved access arrangement or open-data deposit is supplied. Any controlled-access proposal requires a license-compatible authorization by the responsible holder.</ns0:t>
      </ns0:r>
    </ns0:p>
    <ns0:p>
      <ns0:pPr>
        <ns0:pStyle ns0:val="Heading2"/>
        <ns0:bidi ns0:val="0"/>
        <ns0:rPr/>
      </ns0:pPr>
      <ns0:r>
        <ns0:rPr/>
        <ns0:t>Impact and version linkage</ns0:t>
      </ns0:r>
    </ns0:p>
    <ns0:p>
      <ns0:pPr>
        <ns0:pStyle ns0:val="BodyText"/>
        <ns0:bidi ns0:val="0"/>
        <ns0:rPr/>
      </ns0:pPr>
      <ns0:r>
        <ns0:rPr/>
        <ns0:t>This is a substantive numerical, interpretation and access correction, not a typographical-only change. It affects the snapshot title, target estimate, principal conclusions and data-availability statement. The target estimate remains negative, and the interval still includes zero; neither fact rescues the former universal, causal or equivalence claim. The revised v3 manuscript, Figure 1 caption and Supplement S1 consistently report the memo's −0.20 estimate and bounded diagnostic interpretation.</ns0:t>
      </ns0:r>
    </ns0:p>
    <ns0:tbl>
      <ns0:tblPr>
        <ns0:tblW ns0:w="9638" ns0:type="dxa"/>
        <ns0:jc ns0:val="start"/>
        <ns0:tblInd ns0:w="0" ns0:type="dxa"/>
        <ns0:tblLayout ns0:type="fixed"/>
        <ns0:tblCellMar>
          <ns0:top ns0:w="28" ns0:type="dxa"/>
          <ns0:start ns0:w="28" ns0:type="dxa"/>
          <ns0:bottom ns0:w="28" ns0:type="dxa"/>
          <ns0:end ns0:w="28" ns0:type="dxa"/>
        </ns0:tblCellMar>
      </ns0:tblPr>
      <ns0:tblGrid>
        <ns0:gridCol ns0:w="3954"/>
        <ns0:gridCol ns0:w="3481"/>
        <ns0:gridCol ns0:w="2203"/>
      </ns0:tblGrid>
      <ns0:tr>
        <ns0:trPr/>
        <ns0:tc>
          <ns0:tcPr>
            <ns0:tcW ns0:w="3954" ns0:type="dxa"/>
            <ns0:tcBorders/>
            <ns0:vAlign ns0:val="center"/>
          </ns0:tcPr>
          <ns0:p>
            <ns0:pPr>
              <ns0:pStyle ns0:val="TableContents"/>
              <ns0:bidi ns0:val="0"/>
              <ns0:spacing ns0:before="140" ns0:after="140"/>
              <ns0:rPr/>
            </ns0:pPr>
            <ns0:r>
              <ns0:rPr/>
              <ns0:t>Object</ns0:t>
            </ns0:r>
          </ns0:p>
        </ns0:tc>
        <ns0:tc>
          <ns0:tcPr>
            <ns0:tcW ns0:w="3481" ns0:type="dxa"/>
            <ns0:tcBorders/>
            <ns0:vAlign ns0:val="center"/>
          </ns0:tcPr>
          <ns0:p>
            <ns0:pPr>
              <ns0:pStyle ns0:val="TableContents"/>
              <ns0:bidi ns0:val="0"/>
              <ns0:spacing ns0:before="140" ns0:after="140"/>
              <ns0:rPr/>
            </ns0:pPr>
            <ns0:r>
              <ns0:rPr/>
              <ns0:t>Role and relationship</ns0:t>
            </ns0:r>
          </ns0:p>
        </ns0:tc>
        <ns0:tc>
          <ns0:tcPr>
            <ns0:tcW ns0:w="2203" ns0:type="dxa"/>
            <ns0:tcBorders/>
            <ns0:vAlign ns0:val="center"/>
          </ns0:tcPr>
          <ns0:p>
            <ns0:pPr>
              <ns0:pStyle ns0:val="TableContents"/>
              <ns0:bidi ns0:val="0"/>
              <ns0:spacing ns0:before="140" ns0:after="140"/>
              <ns0:rPr/>
            </ns0:pPr>
            <ns0:r>
              <ns0:rPr/>
              <ns0:t>Status</ns0:t>
            </ns0:r>
          </ns0:p>
        </ns0:tc>
      </ns0:tr>
      <ns0:tr>
        <ns0:trPr/>
        <ns0:tc>
          <ns0:tcPr>
            <ns0:tcW ns0:w="3954" ns0:type="dxa"/>
            <ns0:tcBorders/>
            <ns0:vAlign ns0:val="center"/>
          </ns0:tcPr>
          <ns0:p>
            <ns0:pPr>
              <ns0:pStyle ns0:val="TableContents"/>
              <ns0:bidi ns0:val="0"/>
              <ns0:spacing ns0:before="140" ns0:after="140"/>
              <ns0:rPr/>
            </ns0:pPr>
            <ns0:r>
              <ns0:rPr/>
              <ns0:t>published-snapshot-v1.md</ns0:t>
            </ns0:r>
          </ns0:p>
        </ns0:tc>
        <ns0:tc>
          <ns0:tcPr>
            <ns0:tcW ns0:w="3481" ns0:type="dxa"/>
            <ns0:tcBorders/>
            <ns0:vAlign ns0:val="center"/>
          </ns0:tcPr>
          <ns0:p>
            <ns0:pPr>
              <ns0:pStyle ns0:val="TableContents"/>
              <ns0:bidi ns0:val="0"/>
              <ns0:spacing ns0:before="140" ns0:after="140"/>
              <ns0:rPr/>
            </ns0:pPr>
            <ns0:r>
              <ns0:rPr/>
              <ns0:t>Older fictional public wording; target −0.30 and unsupported claims</ns0:t>
            </ns0:r>
          </ns0:p>
        </ns0:tc>
        <ns0:tc>
          <ns0:tcPr>
            <ns0:tcW ns0:w="2203" ns0:type="dxa"/>
            <ns0:tcBorders/>
            <ns0:vAlign ns0:val="center"/>
          </ns0:tcPr>
          <ns0:p>
            <ns0:pPr>
              <ns0:pStyle ns0:val="TableContents"/>
              <ns0:bidi ns0:val="0"/>
              <ns0:spacing ns0:before="140" ns0:after="140"/>
              <ns0:rPr/>
            </ns0:pPr>
            <ns0:r>
              <ns0:rPr/>
              <ns0:t>Preserved, not overwritten</ns0:t>
            </ns0:r>
          </ns0:p>
        </ns0:tc>
      </ns0:tr>
      <ns0:tr>
        <ns0:trPr/>
        <ns0:tc>
          <ns0:tcPr>
            <ns0:tcW ns0:w="3954" ns0:type="dxa"/>
            <ns0:tcBorders/>
            <ns0:vAlign ns0:val="center"/>
          </ns0:tcPr>
          <ns0:p>
            <ns0:pPr>
              <ns0:pStyle ns0:val="TableContents"/>
              <ns0:bidi ns0:val="0"/>
              <ns0:spacing ns0:before="140" ns0:after="140"/>
              <ns0:rPr/>
            </ns0:pPr>
            <ns0:r>
              <ns0:rPr/>
              <ns0:t>evidence.md / draft-v2.md</ns0:t>
            </ns0:r>
          </ns0:p>
        </ns0:tc>
        <ns0:tc>
          <ns0:tcPr>
            <ns0:tcW ns0:w="3481" ns0:type="dxa"/>
            <ns0:tcBorders/>
            <ns0:vAlign ns0:val="center"/>
          </ns0:tcPr>
          <ns0:p>
            <ns0:pPr>
              <ns0:pStyle ns0:val="TableContents"/>
              <ns0:bidi ns0:val="0"/>
              <ns0:spacing ns0:before="140" ns0:after="140"/>
              <ns0:rPr/>
            </ns0:pPr>
            <ns0:r>
              <ns0:rPr/>
              <ns0:t>Supplied authoritative v2 results / working draft</ns0:t>
            </ns0:r>
          </ns0:p>
        </ns0:tc>
        <ns0:tc>
          <ns0:tcPr>
            <ns0:tcW ns0:w="2203" ns0:type="dxa"/>
            <ns0:tcBorders/>
            <ns0:vAlign ns0:val="center"/>
          </ns0:tcPr>
          <ns0:p>
            <ns0:pPr>
              <ns0:pStyle ns0:val="TableContents"/>
              <ns0:bidi ns0:val="0"/>
              <ns0:spacing ns0:before="140" ns0:after="140"/>
              <ns0:rPr/>
            </ns0:pPr>
            <ns0:r>
              <ns0:rPr/>
              <ns0:t>Frozen source, unmodified</ns0:t>
            </ns0:r>
          </ns0:p>
        </ns0:tc>
      </ns0:tr>
      <ns0:tr>
        <ns0:trPr/>
        <ns0:tc>
          <ns0:tcPr>
            <ns0:tcW ns0:w="3954" ns0:type="dxa"/>
            <ns0:tcBorders/>
            <ns0:vAlign ns0:val="center"/>
          </ns0:tcPr>
          <ns0:p>
            <ns0:pPr>
              <ns0:pStyle ns0:val="TableContents"/>
              <ns0:bidi ns0:val="0"/>
              <ns0:spacing ns0:before="140" ns0:after="140"/>
              <ns0:rPr/>
            </ns0:pPr>
            <ns0:r>
              <ns0:rPr/>
              <ns0:t>manuscript-v3-anonymous.md / caption-v3.md / supplement-v3.md</ns0:t>
            </ns0:r>
          </ns0:p>
        </ns0:tc>
        <ns0:tc>
          <ns0:tcPr>
            <ns0:tcW ns0:w="3481" ns0:type="dxa"/>
            <ns0:tcBorders/>
            <ns0:vAlign ns0:val="center"/>
          </ns0:tcPr>
          <ns0:p>
            <ns0:pPr>
              <ns0:pStyle ns0:val="TableContents"/>
              <ns0:bidi ns0:val="0"/>
              <ns0:spacing ns0:before="140" ns0:after="140"/>
              <ns0:rPr/>
            </ns0:pPr>
            <ns0:r>
              <ns0:rPr/>
              <ns0:t>Local developmental correction using v2 result record</ns0:t>
            </ns0:r>
          </ns0:p>
        </ns0:tc>
        <ns0:tc>
          <ns0:tcPr>
            <ns0:tcW ns0:w="2203" ns0:type="dxa"/>
            <ns0:tcBorders/>
            <ns0:vAlign ns0:val="center"/>
          </ns0:tcPr>
          <ns0:p>
            <ns0:pPr>
              <ns0:pStyle ns0:val="TableContents"/>
              <ns0:bidi ns0:val="0"/>
              <ns0:spacing ns0:before="140" ns0:after="140"/>
              <ns0:rPr/>
            </ns0:pPr>
            <ns0:r>
              <ns0:rPr/>
              <ns0:t>Draft, not accepted or published</ns0:t>
            </ns0:r>
          </ns0:p>
        </ns0:tc>
      </ns0:tr>
      <ns0:tr>
        <ns0:trPr/>
        <ns0:tc>
          <ns0:tcPr>
            <ns0:tcW ns0:w="3954" ns0:type="dxa"/>
            <ns0:tcBorders/>
            <ns0:vAlign ns0:val="center"/>
          </ns0:tcPr>
          <ns0:p>
            <ns0:pPr>
              <ns0:pStyle ns0:val="TableContents"/>
              <ns0:bidi ns0:val="0"/>
              <ns0:spacing ns0:before="140" ns0:after="140"/>
              <ns0:rPr/>
            </ns0:pPr>
            <ns0:r>
              <ns0:rPr/>
              <ns0:t>correction-note-v1-draft.md</ns0:t>
            </ns0:r>
          </ns0:p>
        </ns0:tc>
        <ns0:tc>
          <ns0:tcPr>
            <ns0:tcW ns0:w="3481" ns0:type="dxa"/>
            <ns0:tcBorders/>
            <ns0:vAlign ns0:val="center"/>
          </ns0:tcPr>
          <ns0:p>
            <ns0:pPr>
              <ns0:pStyle ns0:val="TableContents"/>
              <ns0:bidi ns0:val="0"/>
              <ns0:spacing ns0:before="140" ns0:after="140"/>
              <ns0:rPr/>
            </ns0:pPr>
            <ns0:r>
              <ns0:rPr/>
              <ns0:t>Proposed notice linked to v1 and v3</ns0:t>
            </ns0:r>
          </ns0:p>
        </ns0:tc>
        <ns0:tc>
          <ns0:tcPr>
            <ns0:tcW ns0:w="2203" ns0:type="dxa"/>
            <ns0:tcBorders/>
            <ns0:vAlign ns0:val="center"/>
          </ns0:tcPr>
          <ns0:p>
            <ns0:pPr>
              <ns0:pStyle ns0:val="TableContents"/>
              <ns0:bidi ns0:val="0"/>
              <ns0:spacing ns0:before="140" ns0:after="140"/>
              <ns0:rPr/>
            </ns0:pPr>
            <ns0:r>
              <ns0:rPr/>
              <ns0:t>Unapproved, unsent, unpublished</ns0:t>
            </ns0:r>
          </ns0:p>
        </ns0:tc>
      </ns0:tr>
    </ns0:tbl>
    <ns0:p>
      <ns0:pPr>
        <ns0:pStyle ns0:val="BodyText"/>
        <ns0:bidi ns0:val="0"/>
        <ns0:spacing ns0:before="140" ns0:after="140"/>
        <ns0:rPr/>
      </ns0:pPr>
      <ns0:r>
        <ns0:rPr/>
        <ns0:t>No newer DOI or repository identifier is invented. Author approval, ethics determination, recipient, formal correction process and publisher approval remain UNKNOWN. This notice is prepared for author review only.</ns0:t>
      </ns0:r>
    </ns0:p>
    <ns0:sectPr>
      <ns0:type ns0:val="nextPage"/>
      <ns0:pgSz ns0:w="11906" ns0:h="16838"/>
      <ns0:pgMar ns0:left="1134" ns0:right="1134" ns0:gutter="0" ns0:header="0" ns0:top="1134" ns0:footer="0" ns0:bottom="1134"/>
      <ns0:pgNumType ns0:fmt="decimal"/>
      <ns0:formProt ns0:val="false"/>
      <ns0:textDirection ns0:val="lrTb"/>
      <ns0:docGrid ns0:type="default" ns0:linePitch="600" ns0:charSpace="36864"/>
    </ns0:sectPr>
  </ns0:body>
</ns0: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ans">
    <w:altName w:val="sans-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DejaVu Sans;sans-serif" w:hAnsi="DejaVu Sans;sans-serif" w:eastAsia="DejaVu Sans;sans-serif" w:cs="DejaVu Sans;sans-serif"/>
      <w:color w:val="auto"/>
      <w:sz w:val="22"/>
      <w:szCs w:val="22"/>
      <w:lang w:val="en-US" w:eastAsia="zh-CN" w:bidi="hi-IN"/>
    </w:rPr>
  </w:style>
  <w:style w:type="paragraph" w:styleId="Heading1">
    <w:name w:val="heading 1"/>
    <w:basedOn w:val="Heading"/>
    <w:next w:val="BodyText"/>
    <w:qFormat/>
    <w:pPr/>
    <w:rPr>
      <w:b/>
      <w:bCs/>
      <w:sz w:val="32"/>
      <w:szCs w:val="32"/>
    </w:rPr>
  </w:style>
  <w:style w:type="paragraph" w:styleId="Heading2">
    <w:name w:val="heading 2"/>
    <w:basedOn w:val="Heading"/>
    <w:next w:val="BodyText"/>
    <w:qFormat/>
    <w:pPr>
      <w:spacing w:before="200" w:after="120"/>
      <w:outlineLvl w:val="1"/>
    </w:pPr>
    <w:rPr>
      <w:rFonts w:ascii="Liberation Serif" w:hAnsi="Liberation Serif" w:eastAsia="Linux Libertine G" w:cs="Noto Sans"/>
      <w:b/>
      <w:bCs/>
      <w:sz w:val="26"/>
      <w:szCs w:val="26"/>
    </w:rPr>
  </w:style>
  <w:style w:type="paragraph" w:styleId="Heading3">
    <w:name w:val="heading 3"/>
    <w:basedOn w:val="Heading"/>
    <w:next w:val="BodyText"/>
    <w:qFormat/>
    <w:pPr>
      <w:spacing w:before="140" w:after="120"/>
      <w:outlineLvl w:val="2"/>
    </w:pPr>
    <w:rPr>
      <w:rFonts w:ascii="Liberation Serif" w:hAnsi="Liberation Serif" w:eastAsia="Linux Libertine G" w:cs="Noto Sans"/>
      <w:b/>
      <w:bCs/>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spacing w:before="140" w:after="140"/>
      <w:ind w:start="140" w:end="14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spacing w:before="140" w:after="140"/>
      <w:ind w:hanging="0" w:start="200" w:end="200"/>
    </w:pPr>
    <w:rPr>
      <w:color w:val="333333"/>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LibreOfficeDev/26.8.0.0.alpha0$MacOSX_AARCH64 LibreOffice_project/2c87e51eeaa2b413ff4ae097b2705eea1995d8e5</Application>
  <AppVersion>15.0000</AppVersion>
</Properties>
</file>

<file path=docProps/core.xml><?xml version="1.0" encoding="utf-8"?>
<ns0:coreProperties xmlns:dc="http://purl.org/dc/elements/1.1/" xmlns:ns0="http://schemas.openxmlformats.org/package/2006/metadata/core-properties">
  <dc:creator/>
  <dc:description/>
  <dc:language>zh-CN</dc:language>
  <ns0:lastModifiedBy/>
  <ns0:revision>0</ns0:revision>
  <dc:subject/>
  <dc:title>Development draft</dc:title>
</ns0:coreProperties>
</file>

<file path=docProps/custom.xml><?xml version="1.0" encoding="utf-8"?>
<Properties xmlns="http://schemas.openxmlformats.org/officeDocument/2006/custom-properties" xmlns:vt="http://schemas.openxmlformats.org/officeDocument/2006/docPropsVTypes"/>
</file>