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BodyText"/>
        <ns0:bidi ns0:val="0"/>
        <ns0:spacing ns0:before="140" ns0:after="140"/>
        <ns0:rPr/>
      </ns0:pPr>
      <ns0:r>
        <ns0:rPr/>
        <ns0:t>SYNTHETIC DEVELOPMENT DRAFT — unsent cover letter for author review; no signature.</ns0:t>
      </ns0:r>
    </ns0:p>
    <ns0:p>
      <ns0:pPr>
        <ns0:pStyle ns0:val="BodyText"/>
        <ns0:bidi ns0:val="0"/>
        <ns0:rPr/>
      </ns0:pPr>
      <ns0:r>
        <ns0:rPr/>
        <ns0:t>Dear Journal Lens Editor,</ns0:t>
      </ns0:r>
    </ns0:p>
    <ns0:p>
      <ns0:pPr>
        <ns0:pStyle ns0:val="BodyText"/>
        <ns0:bidi ns0:val="0"/>
        <ns0:rPr/>
      </ns0:pPr>
      <ns0:r>
        <ns0:rPr/>
        <ns0:t>We have prepared the Technical Note “Target composition can reverse an aggregate method comparison” for your measurement-comparison and diagnostic-methods readership. In the supplied synthetic comparison, opposite stratum estimates combine to +1.00 score under the equal sampled mixture and −0.20 under the target mixture of 0.8:0.2. The note's contribution is a transparent diagnostic of target composition, rather than a new causal or predictive method. It retains the g2 result and the target interval that crosses zero.</ns0:t>
      </ns0:r>
    </ns0:p>
    <ns0:p>
      <ns0:pPr>
        <ns0:pStyle ns0:val="BodyText"/>
        <ns0:bidi ns0:val="0"/>
        <ns0:rPr/>
      </ns0:pPr>
      <ns0:r>
        <ns0:rPr/>
        <ns0:t>The package follows the supplied Lens policy v2 dated 2026-09-01: an anonymous editable manuscript below 2500 words, a separate title page, an editable figure/caption, supporting material, and a specific statement of restricted data and code access. The governing license prohibits redistribution of raw unit-level records and identifiers, while permitting local analysis, code and aggregate-result sharing.</ns0:t>
      </ns0:r>
    </ns0:p>
    <ns0:p>
      <ns0:pPr>
        <ns0:pStyle ns0:val="BodyText"/>
        <ns0:bidi ns0:val="0"/>
        <ns0:rPr/>
      </ns0:pPr>
      <ns0:r>
        <ns0:rPr/>
        <ns0:t>This letter and package remain developmental drafts. Required author approval, funding, conflict and ethics declarations, contact information and any license-compatible controlled-access arrangement are pending. We do not assert submission exclusivity, approved authorship, approved ethics or unrestricted open raw data. No actual submission is being made or requested through this letter.</ns0:t>
      </ns0:r>
    </ns0:p>
    <ns0:p>
      <ns0:pPr>
        <ns0:pStyle ns0:val="BodyText"/>
        <ns0:bidi ns0:val="0"/>
        <ns0:spacing ns0:before="140" ns0:after="140"/>
        <ns0:rPr/>
      </ns0:pPr>
      <ns0:r>
        <ns0:rPr/>
        <ns0:t>Corresponding author and signature: not supplied; author completion required.</ns0:t>
      </ns0:r>
    </ns0:p>
    <ns0:sectPr>
      <ns0:type ns0:val="nextPage"/>
      <ns0:pgSz ns0:w="11906" ns0:h="16838"/>
      <ns0:pgMar ns0:left="1134" ns0:right="1134" ns0:gutter="0" ns0:header="0" ns0:top="1134" ns0:footer="0" ns0:bottom="1134"/>
      <ns0:pgNumType ns0:fmt="decimal"/>
      <ns0:formProt ns0:val="false"/>
      <ns0:textDirection ns0:val="lrTb"/>
      <ns0:docGrid ns0:type="default" ns0:linePitch="600" ns0:charSpace="36864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sans-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sans-serif" w:hAnsi="DejaVu Sans;sans-serif" w:eastAsia="DejaVu Sans;sans-serif" w:cs="DejaVu Sans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Linux Libertine G" w:cs="Noto Sans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Linux Libertine G" w:cs="Noto Sans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140" w:after="140"/>
      <w:ind w:start="140" w:end="14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140" w:after="140"/>
      <w:ind w:hanging="0" w:start="200" w:end="200"/>
    </w:pPr>
    <w:rPr>
      <w:color w:val="333333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ns0:coreProperties xmlns:dc="http://purl.org/dc/elements/1.1/" xmlns:ns0="http://schemas.openxmlformats.org/package/2006/metadata/core-properties">
  <dc:creator/>
  <dc:description/>
  <dc:language>zh-CN</dc:language>
  <ns0:lastModifiedBy/>
  <ns0:revision>0</ns0:revision>
  <dc:subject/>
  <dc:title>Development draft</dc:title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