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BodyText"/>
        <ns0:bidi ns0:val="0"/>
        <ns0:spacing ns0:before="140" ns0:after="140"/>
        <ns0:rPr/>
      </ns0:pPr>
      <ns0:r>
        <ns0:rPr/>
        <ns0:t>SYNTHETIC DEVELOPMENT DRAFT — unsent request; recipient/data-holder contact UNKNOWN.</ns0:t>
      </ns0:r>
    </ns0:p>
    <ns0:p>
      <ns0:pPr>
        <ns0:pStyle ns0:val="Heading1"/>
        <ns0:bidi ns0:val="0"/>
        <ns0:rPr/>
      </ns0:pPr>
      <ns0:r>
        <ns0:rPr/>
        <ns0:t>Proposed request to the responsible data holder</ns0:t>
      </ns0:r>
    </ns0:p>
    <ns0:p>
      <ns0:pPr>
        <ns0:pStyle ns0:val="BodyText"/>
        <ns0:bidi ns0:val="0"/>
        <ns0:rPr/>
      </ns0:pPr>
      <ns0:r>
        <ns0:rPr/>
        <ns0:t>Please identify the governing rights holder, permissible access pathway and applicable license conditions for the synthetic comparison's original analysis record. We seek an authorized way to inspect the paired-unit analysis script, unit conversion and repetition-averaging rules, resample count, seed, software/environment record and bootstrap outputs to assess the reported target interval. Numerical unit data should be accessed only if necessary and if a separate license-compatible authorization permits it.</ns0:t>
      </ns0:r>
    </ns0:p>
    <ns0:p>
      <ns0:pPr>
        <ns0:pStyle ns0:val="BodyText"/>
        <ns0:bidi ns0:val="0"/>
        <ns0:rPr/>
      </ns0:pPr>
      <ns0:r>
        <ns0:rPr/>
        <ns0:t>The existing fixture license prohibits redistribution of raw unit-level records and identifiers. This request is not permission to email, deposit, upload or redistribute them, and makes no assertion that a controlled-access arrangement is already approved. If inspection cannot be authorized, please confirm what non-identifying metadata, aggregate summaries and original analysis code may be provided legally.</ns0:t>
      </ns0:r>
    </ns0:p>
    <ns0:p>
      <ns0:pPr>
        <ns0:pStyle ns0:val="BodyText"/>
        <ns0:bidi ns0:val="0"/>
        <ns0:spacing ns0:before="140" ns0:after="140"/>
        <ns0:rPr/>
      </ns0:pPr>
      <ns0:r>
        <ns0:rPr/>
        <ns0:t>Author/data-holder response, recipient, safeguards, any expanded permission and access approval: UNKNOWN. Nothing has been sent or requested through an external service.</ns0:t>
      </ns0:r>
    </ns0:p>
    <ns0:sectPr>
      <ns0:type ns0:val="nextPage"/>
      <ns0:pgSz ns0:w="11906" ns0:h="16838"/>
      <ns0:pgMar ns0:left="1134" ns0:right="1134" ns0:gutter="0" ns0:header="0" ns0:top="1134" ns0:footer="0" ns0:bottom="1134"/>
      <ns0:pgNumType ns0:fmt="decimal"/>
      <ns0:formProt ns0:val="false"/>
      <ns0:textDirection ns0:val="lrTb"/>
      <ns0:docGrid ns0:type="default" ns0:linePitch="600" ns0:charSpace="36864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sans-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sans-serif" w:hAnsi="DejaVu Sans;sans-serif" w:eastAsia="DejaVu Sans;sans-serif" w:cs="DejaVu Sans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Linux Libertine G" w:cs="Noto Sans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Linux Libertine G" w:cs="Noto Sans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BodyText">
    <w:name w:val="Body Text"/>
    <w:basedOn w:val="Normal"/>
    <w:pPr>
      <w:spacing w:before="140" w:after="140"/>
      <w:ind w:start="140" w:end="14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lockQuotation">
    <w:name w:val="Block Quotation"/>
    <w:basedOn w:val="Normal"/>
    <w:qFormat/>
    <w:pPr>
      <w:spacing w:before="140" w:after="140"/>
      <w:ind w:hanging="0" w:start="200" w:end="200"/>
    </w:pPr>
    <w:rPr>
      <w:color w:val="333333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ns0:coreProperties xmlns:dc="http://purl.org/dc/elements/1.1/" xmlns:ns0="http://schemas.openxmlformats.org/package/2006/metadata/core-properties">
  <dc:creator/>
  <dc:description/>
  <dc:language>zh-CN</dc:language>
  <ns0:lastModifiedBy/>
  <ns0:revision>0</ns0:revision>
  <dc:subject/>
  <dc:title>Development draft</dc:title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