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ns0:document xmlns:ns0="http://schemas.openxmlformats.org/wordprocessingml/2006/main" xmlns:ns1="http://schemas.openxmlformats.org/markup-compatibility/2006" ns1:Ignorable="w14 wp14 w15">
  <ns0:body>
    <ns0:p>
      <ns0:pPr>
        <ns0:pStyle ns0:val="BodyText"/>
        <ns0:bidi ns0:val="0"/>
        <ns0:spacing ns0:before="140" ns0:after="140"/>
        <ns0:rPr/>
      </ns0:pPr>
      <ns0:r>
        <ns0:rPr/>
        <ns0:t>SYNTHETIC DEVELOPMENT DRAFT — Supplement S1, version 3, reported-result record.</ns0:t>
      </ns0:r>
    </ns0:p>
    <ns0:p>
      <ns0:pPr>
        <ns0:pStyle ns0:val="Heading1"/>
        <ns0:bidi ns0:val="0"/>
        <ns0:rPr/>
      </ns0:pPr>
      <ns0:r>
        <ns0:rPr/>
        <ns0:t>S1. Units, mixtures and available evidence</ns0:t>
      </ns0:r>
    </ns0:p>
    <ns0:p>
      <ns0:pPr>
        <ns0:pStyle ns0:val="BodyText"/>
        <ns0:bidi ns0:val="0"/>
        <ns0:rPr/>
      </ns0:pPr>
      <ns0:r>
        <ns0:rPr/>
        <ns0:t>The supplied version 2 evidence memo identifies eight independent paired units, four per stratum. A and B were measured on each same unit. Technical repetitions were averaged within unit/method after unit conversion. Repeat counts, conversion rules and unit records are not supplied. Independent-unit status is a fixture fact from the memo and method description, not a conclusion derived from a cited paper or verified from raw records.</ns0:t>
      </ns0:r>
    </ns0:p>
    <ns0:p>
      <ns0:pPr>
        <ns0:pStyle ns0:val="BodyText"/>
        <ns0:bidi ns0:val="0"/>
        <ns0:rPr/>
      </ns0:pPr>
      <ns0:r>
        <ns0:rPr/>
        <ns0:t>The score difference is A−B; negative favors A because lower score is better. Target weights were fixed before measurement at g1:g2 = 0.8:0.2. The sample has four units in each stratum, giving equal sampled weights 0.5:0.5.</ns0:t>
      </ns0:r>
    </ns0:p>
    <ns0:tbl>
      <ns0:tblPr>
        <ns0:tblW ns0:w="9638" ns0:type="dxa"/>
        <ns0:jc ns0:val="start"/>
        <ns0:tblInd ns0:w="0" ns0:type="dxa"/>
        <ns0:tblLayout ns0:type="fixed"/>
        <ns0:tblCellMar>
          <ns0:top ns0:w="28" ns0:type="dxa"/>
          <ns0:start ns0:w="28" ns0:type="dxa"/>
          <ns0:bottom ns0:w="28" ns0:type="dxa"/>
          <ns0:end ns0:w="28" ns0:type="dxa"/>
        </ns0:tblCellMar>
      </ns0:tblPr>
      <ns0:tblGrid>
        <ns0:gridCol ns0:w="3344"/>
        <ns0:gridCol ns0:w="1954"/>
        <ns0:gridCol ns0:w="2333"/>
        <ns0:gridCol ns0:w="2007"/>
      </ns0:tblGrid>
      <ns0:tr>
        <ns0:trPr/>
        <ns0:tc>
          <ns0:tcPr>
            <ns0:tcW ns0:w="3344" ns0:type="dxa"/>
            <ns0:tcBorders/>
            <ns0:vAlign ns0:val="center"/>
          </ns0:tcPr>
          <ns0:p>
            <ns0:pPr>
              <ns0:pStyle ns0:val="TableContents"/>
              <ns0:bidi ns0:val="0"/>
              <ns0:spacing ns0:before="140" ns0:after="140"/>
              <ns0:rPr/>
            </ns0:pPr>
            <ns0:r>
              <ns0:rPr/>
              <ns0:t>Quantity</ns0:t>
            </ns0:r>
          </ns0:p>
        </ns0:tc>
        <ns0:tc>
          <ns0:tcPr>
            <ns0:tcW ns0:w="1954" ns0:type="dxa"/>
            <ns0:tcBorders/>
            <ns0:vAlign ns0:val="center"/>
          </ns0:tcPr>
          <ns0:p>
            <ns0:pPr>
              <ns0:pStyle ns0:val="TableContents"/>
              <ns0:bidi ns0:val="0"/>
              <ns0:spacing ns0:before="140" ns0:after="140"/>
              <ns0:rPr/>
            </ns0:pPr>
            <ns0:r>
              <ns0:rPr/>
              <ns0:t>Mean A−B (score)</ns0:t>
            </ns0:r>
          </ns0:p>
        </ns0:tc>
        <ns0:tc>
          <ns0:tcPr>
            <ns0:tcW ns0:w="2333" ns0:type="dxa"/>
            <ns0:tcBorders/>
            <ns0:vAlign ns0:val="center"/>
          </ns0:tcPr>
          <ns0:p>
            <ns0:pPr>
              <ns0:pStyle ns0:val="TableContents"/>
              <ns0:bidi ns0:val="0"/>
              <ns0:spacing ns0:before="140" ns0:after="140"/>
              <ns0:rPr/>
            </ns0:pPr>
            <ns0:r>
              <ns0:rPr/>
              <ns0:t>Supplied 95% interval</ns0:t>
            </ns0:r>
          </ns0:p>
        </ns0:tc>
        <ns0:tc>
          <ns0:tcPr>
            <ns0:tcW ns0:w="2007" ns0:type="dxa"/>
            <ns0:tcBorders/>
            <ns0:vAlign ns0:val="center"/>
          </ns0:tcPr>
          <ns0:p>
            <ns0:pPr>
              <ns0:pStyle ns0:val="TableContents"/>
              <ns0:bidi ns0:val="0"/>
              <ns0:spacing ns0:before="140" ns0:after="140"/>
              <ns0:rPr/>
            </ns0:pPr>
            <ns0:r>
              <ns0:rPr/>
              <ns0:t>Independent units</ns0:t>
            </ns0:r>
          </ns0:p>
        </ns0:tc>
      </ns0:tr>
      <ns0:tr>
        <ns0:trPr/>
        <ns0:tc>
          <ns0:tcPr>
            <ns0:tcW ns0:w="3344" ns0:type="dxa"/>
            <ns0:tcBorders/>
            <ns0:vAlign ns0:val="center"/>
          </ns0:tcPr>
          <ns0:p>
            <ns0:pPr>
              <ns0:pStyle ns0:val="TableContents"/>
              <ns0:bidi ns0:val="0"/>
              <ns0:spacing ns0:before="140" ns0:after="140"/>
              <ns0:rPr/>
            </ns0:pPr>
            <ns0:r>
              <ns0:rPr/>
              <ns0:t>g1</ns0:t>
            </ns0:r>
          </ns0:p>
        </ns0:tc>
        <ns0:tc>
          <ns0:tcPr>
            <ns0:tcW ns0:w="1954" ns0:type="dxa"/>
            <ns0:tcBorders/>
            <ns0:vAlign ns0:val="center"/>
          </ns0:tcPr>
          <ns0:p>
            <ns0:pPr>
              <ns0:pStyle ns0:val="TableContents"/>
              <ns0:bidi ns0:val="0"/>
              <ns0:spacing ns0:before="140" ns0:after="140"/>
              <ns0:rPr/>
            </ns0:pPr>
            <ns0:r>
              <ns0:rPr/>
              <ns0:t>−</ns0:t>
            </ns0:r>
            <ns0:r>
              <ns0:rPr/>
              <ns0:t>1.00</ns0:t>
            </ns0:r>
          </ns0:p>
        </ns0:tc>
        <ns0:tc>
          <ns0:tcPr>
            <ns0:tcW ns0:w="2333" ns0:type="dxa"/>
            <ns0:tcBorders/>
            <ns0:vAlign ns0:val="center"/>
          </ns0:tcPr>
          <ns0:p>
            <ns0:pPr>
              <ns0:pStyle ns0:val="TableContents"/>
              <ns0:bidi ns0:val="0"/>
              <ns0:spacing ns0:before="140" ns0:after="140"/>
              <ns0:rPr/>
            </ns0:pPr>
            <ns0:r>
              <ns0:rPr/>
              <ns0:t>Not supplied</ns0:t>
            </ns0:r>
          </ns0:p>
        </ns0:tc>
        <ns0:tc>
          <ns0:tcPr>
            <ns0:tcW ns0:w="2007" ns0:type="dxa"/>
            <ns0:tcBorders/>
            <ns0:vAlign ns0:val="center"/>
          </ns0:tcPr>
          <ns0:p>
            <ns0:pPr>
              <ns0:pStyle ns0:val="TableContents"/>
              <ns0:bidi ns0:val="0"/>
              <ns0:spacing ns0:before="140" ns0:after="140"/>
              <ns0:rPr/>
            </ns0:pPr>
            <ns0:r>
              <ns0:rPr/>
              <ns0:t>4 paired units</ns0:t>
            </ns0:r>
          </ns0:p>
        </ns0:tc>
      </ns0:tr>
      <ns0:tr>
        <ns0:trPr/>
        <ns0:tc>
          <ns0:tcPr>
            <ns0:tcW ns0:w="3344" ns0:type="dxa"/>
            <ns0:tcBorders/>
            <ns0:vAlign ns0:val="center"/>
          </ns0:tcPr>
          <ns0:p>
            <ns0:pPr>
              <ns0:pStyle ns0:val="TableContents"/>
              <ns0:bidi ns0:val="0"/>
              <ns0:spacing ns0:before="140" ns0:after="140"/>
              <ns0:rPr/>
            </ns0:pPr>
            <ns0:r>
              <ns0:rPr/>
              <ns0:t>g2</ns0:t>
            </ns0:r>
          </ns0:p>
        </ns0:tc>
        <ns0:tc>
          <ns0:tcPr>
            <ns0:tcW ns0:w="1954" ns0:type="dxa"/>
            <ns0:tcBorders/>
            <ns0:vAlign ns0:val="center"/>
          </ns0:tcPr>
          <ns0:p>
            <ns0:pPr>
              <ns0:pStyle ns0:val="TableContents"/>
              <ns0:bidi ns0:val="0"/>
              <ns0:spacing ns0:before="140" ns0:after="140"/>
              <ns0:rPr/>
            </ns0:pPr>
            <ns0:r>
              <ns0:rPr/>
              <ns0:t>+3.00</ns0:t>
            </ns0:r>
          </ns0:p>
        </ns0:tc>
        <ns0:tc>
          <ns0:tcPr>
            <ns0:tcW ns0:w="2333" ns0:type="dxa"/>
            <ns0:tcBorders/>
            <ns0:vAlign ns0:val="center"/>
          </ns0:tcPr>
          <ns0:p>
            <ns0:pPr>
              <ns0:pStyle ns0:val="TableContents"/>
              <ns0:bidi ns0:val="0"/>
              <ns0:spacing ns0:before="140" ns0:after="140"/>
              <ns0:rPr/>
            </ns0:pPr>
            <ns0:r>
              <ns0:rPr/>
              <ns0:t>Not supplied</ns0:t>
            </ns0:r>
          </ns0:p>
        </ns0:tc>
        <ns0:tc>
          <ns0:tcPr>
            <ns0:tcW ns0:w="2007" ns0:type="dxa"/>
            <ns0:tcBorders/>
            <ns0:vAlign ns0:val="center"/>
          </ns0:tcPr>
          <ns0:p>
            <ns0:pPr>
              <ns0:pStyle ns0:val="TableContents"/>
              <ns0:bidi ns0:val="0"/>
              <ns0:spacing ns0:before="140" ns0:after="140"/>
              <ns0:rPr/>
            </ns0:pPr>
            <ns0:r>
              <ns0:rPr/>
              <ns0:t>4 paired units</ns0:t>
            </ns0:r>
          </ns0:p>
        </ns0:tc>
      </ns0:tr>
      <ns0:tr>
        <ns0:trPr/>
        <ns0:tc>
          <ns0:tcPr>
            <ns0:tcW ns0:w="3344" ns0:type="dxa"/>
            <ns0:tcBorders/>
            <ns0:vAlign ns0:val="center"/>
          </ns0:tcPr>
          <ns0:p>
            <ns0:pPr>
              <ns0:pStyle ns0:val="TableContents"/>
              <ns0:bidi ns0:val="0"/>
              <ns0:spacing ns0:before="140" ns0:after="140"/>
              <ns0:rPr/>
            </ns0:pPr>
            <ns0:r>
              <ns0:rPr/>
              <ns0:t>Equal sampled mixture (0.5/0.5)</ns0:t>
            </ns0:r>
          </ns0:p>
        </ns0:tc>
        <ns0:tc>
          <ns0:tcPr>
            <ns0:tcW ns0:w="1954" ns0:type="dxa"/>
            <ns0:tcBorders/>
            <ns0:vAlign ns0:val="center"/>
          </ns0:tcPr>
          <ns0:p>
            <ns0:pPr>
              <ns0:pStyle ns0:val="TableContents"/>
              <ns0:bidi ns0:val="0"/>
              <ns0:spacing ns0:before="140" ns0:after="140"/>
              <ns0:rPr/>
            </ns0:pPr>
            <ns0:r>
              <ns0:rPr/>
              <ns0:t>+1.00</ns0:t>
            </ns0:r>
          </ns0:p>
        </ns0:tc>
        <ns0:tc>
          <ns0:tcPr>
            <ns0:tcW ns0:w="2333" ns0:type="dxa"/>
            <ns0:tcBorders/>
            <ns0:vAlign ns0:val="center"/>
          </ns0:tcPr>
          <ns0:p>
            <ns0:pPr>
              <ns0:pStyle ns0:val="TableContents"/>
              <ns0:bidi ns0:val="0"/>
              <ns0:spacing ns0:before="140" ns0:after="140"/>
              <ns0:rPr/>
            </ns0:pPr>
            <ns0:r>
              <ns0:rPr/>
              <ns0:t>Not supplied</ns0:t>
            </ns0:r>
          </ns0:p>
        </ns0:tc>
        <ns0:tc>
          <ns0:tcPr>
            <ns0:tcW ns0:w="2007" ns0:type="dxa"/>
            <ns0:tcBorders/>
            <ns0:vAlign ns0:val="center"/>
          </ns0:tcPr>
          <ns0:p>
            <ns0:pPr>
              <ns0:pStyle ns0:val="TableContents"/>
              <ns0:bidi ns0:val="0"/>
              <ns0:spacing ns0:before="140" ns0:after="140"/>
              <ns0:rPr/>
            </ns0:pPr>
            <ns0:r>
              <ns0:rPr/>
              <ns0:t>Same eight units</ns0:t>
            </ns0:r>
          </ns0:p>
        </ns0:tc>
      </ns0:tr>
      <ns0:tr>
        <ns0:trPr/>
        <ns0:tc>
          <ns0:tcPr>
            <ns0:tcW ns0:w="3344" ns0:type="dxa"/>
            <ns0:tcBorders/>
            <ns0:vAlign ns0:val="center"/>
          </ns0:tcPr>
          <ns0:p>
            <ns0:pPr>
              <ns0:pStyle ns0:val="TableContents"/>
              <ns0:bidi ns0:val="0"/>
              <ns0:spacing ns0:before="140" ns0:after="140"/>
              <ns0:rPr/>
            </ns0:pPr>
            <ns0:r>
              <ns0:rPr/>
              <ns0:t>Target mixture (0.8/0.2)</ns0:t>
            </ns0:r>
          </ns0:p>
        </ns0:tc>
        <ns0:tc>
          <ns0:tcPr>
            <ns0:tcW ns0:w="1954" ns0:type="dxa"/>
            <ns0:tcBorders/>
            <ns0:vAlign ns0:val="center"/>
          </ns0:tcPr>
          <ns0:p>
            <ns0:pPr>
              <ns0:pStyle ns0:val="TableContents"/>
              <ns0:bidi ns0:val="0"/>
              <ns0:spacing ns0:before="140" ns0:after="140"/>
              <ns0:rPr/>
            </ns0:pPr>
            <ns0:r>
              <ns0:rPr/>
              <ns0:t>−</ns0:t>
            </ns0:r>
            <ns0:r>
              <ns0:rPr/>
              <ns0:t>0.20</ns0:t>
            </ns0:r>
          </ns0:p>
        </ns0:tc>
        <ns0:tc>
          <ns0:tcPr>
            <ns0:tcW ns0:w="2333" ns0:type="dxa"/>
            <ns0:tcBorders/>
            <ns0:vAlign ns0:val="center"/>
          </ns0:tcPr>
          <ns0:p>
            <ns0:pPr>
              <ns0:pStyle ns0:val="TableContents"/>
              <ns0:bidi ns0:val="0"/>
              <ns0:spacing ns0:before="140" ns0:after="140"/>
              <ns0:rPr/>
            </ns0:pPr>
            <ns0:r>
              <ns0:rPr/>
              <ns0:t>[−0.60, 0.20]</ns0:t>
            </ns0:r>
          </ns0:p>
        </ns0:tc>
        <ns0:tc>
          <ns0:tcPr>
            <ns0:tcW ns0:w="2007" ns0:type="dxa"/>
            <ns0:tcBorders/>
            <ns0:vAlign ns0:val="center"/>
          </ns0:tcPr>
          <ns0:p>
            <ns0:pPr>
              <ns0:pStyle ns0:val="TableContents"/>
              <ns0:bidi ns0:val="0"/>
              <ns0:spacing ns0:before="140" ns0:after="140"/>
              <ns0:rPr/>
            </ns0:pPr>
            <ns0:r>
              <ns0:rPr/>
              <ns0:t>Same eight units</ns0:t>
            </ns0:r>
          </ns0:p>
        </ns0:tc>
      </ns0:tr>
    </ns0:tbl>
    <ns0:p>
      <ns0:pPr>
        <ns0:pStyle ns0:val="BodyText"/>
        <ns0:bidi ns0:val="0"/>
        <ns0:rPr/>
      </ns0:pPr>
      <ns0:r>
        <ns0:rPr/>
        <ns0:t>Arithmetic reconciliation: 0.5 × (−1.00) + 0.5 × 3.00 = +1.00; 0.8 × (−1.00) + 0.2 × 3.00 = −0.20. These are deterministic checks of supplied aggregates, not additional analyses on unit data. The two mixtures use the same units and are not two independent experiments.</ns0:t>
      </ns0:r>
    </ns0:p>
    <ns0:p>
      <ns0:pPr>
        <ns0:pStyle ns0:val="BodyText"/>
        <ns0:bidi ns0:val="0"/>
        <ns0:rPr/>
      </ns0:pPr>
      <ns0:r>
        <ns0:rPr/>
        <ns0:t>The reported target interval is a 95% within-stratum paired-unit bootstrap percentile interval. The supplied method resamples paired units within each stratum and reapplies fixed target weights. Numerical source data, original analysis script, bootstrap realizations, seed, resample count and numerical software version are unavailable. Neither the bootstrap implementation nor its interval coverage has been replicated or independently validated in this task.</ns0:t>
      </ns0:r>
    </ns0:p>
    <ns0:p>
      <ns0:pPr>
        <ns0:pStyle ns0:val="Heading1"/>
        <ns0:bidi ns0:val="0"/>
        <ns0:rPr/>
      </ns0:pPr>
      <ns0:r>
        <ns0:rPr/>
        <ns0:t>S2. Interpretation and access bounds</ns0:t>
      </ns0:r>
    </ns0:p>
    <ns0:p>
      <ns0:pPr>
        <ns0:pStyle ns0:val="BodyText"/>
        <ns0:bidi ns0:val="0"/>
        <ns0:rPr/>
      </ns0:pPr>
      <ns0:r>
        <ns0:rPr/>
        <ns0:t>The evidence contains no treatment assignment, confounding measurement, equivalence margin, registered equivalence test or external validation. The g2 point estimate opposes an advantage for A. The target interval includes zero and both signs; this does not prove equivalence or exact absence of a difference. The comparison is a diagnostic of mixture dependence.</ns0:t>
      </ns0:r>
    </ns0:p>
    <ns0:p>
      <ns0:pPr>
        <ns0:pStyle ns0:val="BodyText"/>
        <ns0:bidi ns0:val="0"/>
        <ns0:rPr/>
      </ns0:pPr>
      <ns0:r>
        <ns0:rPr/>
        <ns0:t>The fixture license permits local analysis, code and aggregate-result sharing but forbids redistribution of unit-level identifiers and raw unit-level records. Those records are not included. Any access proposal must be assessed by the responsible data holder against the governing license; no contact or approved access arrangement is supplied. Aggregate CSV and editable display code are included locally. They cannot reconstruct unit records or reproduce the original bootstrap.</ns0:t>
      </ns0:r>
    </ns0:p>
    <ns0:p>
      <ns0:pPr>
        <ns0:pStyle ns0:val="Heading1"/>
        <ns0:bidi ns0:val="0"/>
        <ns0:rPr/>
      </ns0:pPr>
      <ns0:r>
        <ns0:rPr/>
        <ns0:t>S3. Citation scope</ns0:t>
      </ns0:r>
    </ns0:p>
    <ns0:p>
      <ns0:pPr>
        <ns0:pStyle ns0:val="BodyText"/>
        <ns0:bidi ns0:val="0"/>
        <ns0:spacing ns0:before="140" ns0:after="140"/>
        <ns0:rPr/>
      </ns0:pPr>
      <ns0:r>
        <ns0:rPr/>
        <ns0:t>The two DOI identities in the supplied bibliography were checked against Crossref before this task, according to the fixture's source-availability record. That metadata check is distinct from semantic support. Efron (1979) is metadata-only here; neither its full text nor a verified supporting passage was obtained. Rosenbaum and Rubin (1983) are available here only through the fixture's paraphrase of the official abstract, concerning adjustment for observed covariates. Neither source verifies this fixture's independence, eliminates unmeasured confounding, or validates its empirical target interval. The misleading citations and both supporting reference entries have therefore been removed from the revised manuscript and retained in the separate citation audit; no substitute full-text evidence is invented.</ns0:t>
      </ns0:r>
    </ns0:p>
    <ns0:sectPr>
      <ns0:type ns0:val="nextPage"/>
      <ns0:pgSz ns0:w="11906" ns0:h="16838"/>
      <ns0:pgMar ns0:left="1134" ns0:right="1134" ns0:gutter="0" ns0:header="0" ns0:top="1134" ns0:footer="0" ns0:bottom="1134"/>
      <ns0:pgNumType ns0:fmt="decimal"/>
      <ns0:formProt ns0:val="false"/>
      <ns0:textDirection ns0:val="lrTb"/>
      <ns0:docGrid ns0:type="default" ns0:linePitch="600" ns0:charSpace="36864"/>
    </ns0:sectPr>
  </ns0:body>
</ns0: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DejaVu Sans">
    <w:altName w:val="sans-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DejaVu Sans;sans-serif" w:hAnsi="DejaVu Sans;sans-serif" w:eastAsia="DejaVu Sans;sans-serif" w:cs="DejaVu Sans;sans-serif"/>
      <w:color w:val="auto"/>
      <w:sz w:val="22"/>
      <w:szCs w:val="22"/>
      <w:lang w:val="en-US" w:eastAsia="zh-CN" w:bidi="hi-IN"/>
    </w:rPr>
  </w:style>
  <w:style w:type="paragraph" w:styleId="Heading1">
    <w:name w:val="heading 1"/>
    <w:basedOn w:val="Heading"/>
    <w:next w:val="BodyText"/>
    <w:qFormat/>
    <w:pPr/>
    <w:rPr>
      <w:b/>
      <w:bCs/>
      <w:sz w:val="32"/>
      <w:szCs w:val="32"/>
    </w:rPr>
  </w:style>
  <w:style w:type="paragraph" w:styleId="Heading2">
    <w:name w:val="heading 2"/>
    <w:basedOn w:val="Heading"/>
    <w:next w:val="BodyText"/>
    <w:qFormat/>
    <w:pPr>
      <w:spacing w:before="200" w:after="120"/>
      <w:outlineLvl w:val="1"/>
    </w:pPr>
    <w:rPr>
      <w:rFonts w:ascii="Liberation Serif" w:hAnsi="Liberation Serif" w:eastAsia="Linux Libertine G" w:cs="Noto Sans"/>
      <w:b/>
      <w:bCs/>
      <w:sz w:val="26"/>
      <w:szCs w:val="26"/>
    </w:rPr>
  </w:style>
  <w:style w:type="paragraph" w:styleId="Heading3">
    <w:name w:val="heading 3"/>
    <w:basedOn w:val="Heading"/>
    <w:next w:val="BodyText"/>
    <w:qFormat/>
    <w:pPr>
      <w:spacing w:before="140" w:after="120"/>
      <w:outlineLvl w:val="2"/>
    </w:pPr>
    <w:rPr>
      <w:rFonts w:ascii="Liberation Serif" w:hAnsi="Liberation Serif" w:eastAsia="Linux Libertine G" w:cs="Noto 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140" w:after="140"/>
      <w:ind w:start="140" w:end="14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spacing w:before="140" w:after="140"/>
      <w:ind w:hanging="0" w:start="200" w:end="200"/>
    </w:pPr>
    <w:rPr>
      <w:color w:val="333333"/>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roperties>
</file>

<file path=docProps/core.xml><?xml version="1.0" encoding="utf-8"?>
<ns0:coreProperties xmlns:dc="http://purl.org/dc/elements/1.1/" xmlns:ns0="http://schemas.openxmlformats.org/package/2006/metadata/core-properties">
  <dc:creator/>
  <dc:description/>
  <dc:language>zh-CN</dc:language>
  <ns0:lastModifiedBy/>
  <ns0:revision>0</ns0:revision>
  <dc:subject/>
  <dc:title>Development draft</dc:title>
</ns0:coreProperties>
</file>

<file path=docProps/custom.xml><?xml version="1.0" encoding="utf-8"?>
<Properties xmlns="http://schemas.openxmlformats.org/officeDocument/2006/custom-properties" xmlns:vt="http://schemas.openxmlformats.org/officeDocument/2006/docPropsVTypes"/>
</file>