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Cover letter draft — Journal Lens Technical Note</w:t>
      </w:r>
    </w:p>
    <w:p>
      <w:r>
        <w:t xml:space="preserve">SYNTHETIC local developmental draft. Not sent; author/contact/approval and declarations remain unresolved. Prepared against the supplied policy v2 (2026-09-01).</w:t>
      </w:r>
    </w:p>
    <w:p>
      <w:r>
        <w:t xml:space="preserve">Dear Editor,</w:t>
      </w:r>
    </w:p>
    <w:p>
      <w:r>
        <w:t xml:space="preserve">We have prepared a proposed Technical Note entitled “Target composition changes the direction of a paired method comparison.” It reports a transparent diagnostic: the same supplied stratum mean differences yield +1.00 score under an equal sampled mixture and −0.20 score under a prespecified target mixture of 0.8/0.2. We retain both strata, including the stratum favoring B, and describe the supplied target interval [−0.60, 0.20] score without causal, equivalence or universal-ranking claims.</w:t>
      </w:r>
    </w:p>
    <w:p>
      <w:r>
        <w:t xml:space="preserve">The diagnostic-methods and measurement-comparison audience described in your supplied current policy matches the note's purpose. The manuscript is within the 2,500-word main-text limit and is prepared anonymously with a separate title page. Editable manuscript, caption, supporting material, response draft and figure files accompany this proposed package. Raw unit-level records and identifiers cannot be redistributed under the fixture license; an explicit access statement distinguishes permitted aggregate/code sharing from unresolved controlled access.</w:t>
      </w:r>
    </w:p>
    <w:p>
      <w:r>
        <w:t xml:space="preserve">This package is not ready for external submission. Final authorship and contact, funding, conflicts, human-participant status, ethics determination, access mechanism and author approval require confirmation. No declaration of approval, exclusive submission, prior-publication eligibility or author agreement is made on unknown facts. The older synthetic public snapshot has been preserved and a version-aware correction draft has been prepared; the authors must determine any disclosure required by the venue concerning that snapshot.</w:t>
      </w:r>
    </w:p>
    <w:p>
      <w:r>
        <w:t xml:space="preserve">Sincerely,</w:t>
      </w:r>
    </w:p>
    <w:p>
      <w:r>
        <w:t xml:space="preserve">Mira Example — working-file author only; final corresponding-author designation and contact UNKNOWN.</w:t>
      </w:r>
    </w:p>
    <w:p>
      <w:r>
        <w:t xml:space="preserve">Drafting note for author: replace unresolved fields only from actual records, approve this letter and confirm snapshot/prior-dissemination handling before any authorized submission. The letter has not been sent.</w:t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pPr>
      <w:keepNext/>
    </w:pPr>
    <w:rPr>
      <w:b/>
      <w:sz w:val="26"/>
    </w:rPr>
  </w:style>
  <w:style w:type="paragraph" w:styleId="Heading2">
    <w:name w:val="heading 2"/>
    <w:basedOn w:val="Normal"/>
    <w:pPr>
      <w:keepNext/>
    </w:pPr>
    <w:rPr>
      <w:b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Synthetic developmental draft</dc:title>
  <dc:creator/>
  <cp:lastModifiedBy/>
</cp:coreProperties>
</file>