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Declarations and access statement — author completion draft</w:t>
      </w:r>
    </w:p>
    <w:p>
      <w:r>
        <w:t xml:space="preserve">SYNTHETIC v3. Prepared locally; all statements below require accountable author confirmation before actual submission. A blank or UNKNOWN field is not a negative declaration or an approval.</w:t>
      </w:r>
    </w:p>
    <w:p>
      <w:pPr>
        <w:pStyle w:val="Heading1"/>
      </w:pPr>
      <w:r>
        <w:t xml:space="preserve">Authorship</w:t>
      </w:r>
    </w:p>
    <w:p>
      <w:r>
        <w:t xml:space="preserve">The working file names Mira Example at Synthetic Unit Laboratory. Local developmental editing and anonymous package preparation are permitted. Final author list, order, additional affiliations, corresponding author, contact, ORCID, contributions and approval are UNKNOWN. No statement that all authors approved is made.</w:t>
      </w:r>
    </w:p>
    <w:p>
      <w:pPr>
        <w:pStyle w:val="Heading1"/>
      </w:pPr>
      <w:r>
        <w:t xml:space="preserve">Ethics and consent</w:t>
      </w:r>
    </w:p>
    <w:p>
      <w:r>
        <w:t xml:space="preserve">Human-participant status and ethics determination are UNKNOWN. Authors must identify what units represent and confirm whether ethics review, exemption, consent or another determination is required. If applicable, provide the authority, determination, identifier, date and permitted sharing scope. If not applicable, supply the basis for that determination. No ethics approval, exemption or consent is inferred from the term “unit” or from the synthetic testing context of this package.</w:t>
      </w:r>
    </w:p>
    <w:p>
      <w:pPr>
        <w:pStyle w:val="Heading1"/>
      </w:pPr>
      <w:r>
        <w:t xml:space="preserve">Funding and conflicts</w:t>
      </w:r>
    </w:p>
    <w:p>
      <w:r>
        <w:t xml:space="preserve">Funding, sponsor role and conflicts are UNKNOWN. Authors must provide the actual funding and sponsor information and each author's relevant conflict declaration. “No funding” and “no conflicts” are not permissible substitutes for unknown records.</w:t>
      </w:r>
    </w:p>
    <w:p>
      <w:pPr>
        <w:pStyle w:val="Heading1"/>
      </w:pPr>
      <w:r>
        <w:t xml:space="preserve">Data, code and materials access</w:t>
      </w:r>
    </w:p>
    <w:p>
      <w:r>
        <w:t xml:space="preserve">The fixture license allows local analysis and sharing of aggregate results and code. It forbids redistribution of raw unit-level records and identifiers. This package contains an aggregate transcription of the authoritative memo and new figure-drawing code, not raw data or the original analysis implementation. Numerical source data, bootstrap draws and the original analysis script were not obtained.</w:t>
      </w:r>
    </w:p>
    <w:p>
      <w:r>
        <w:t xml:space="preserve">Draft access wording: “Raw unit-level records and identifiers cannot be redistributed under the controlling license. Aggregate results and the new display code can be shared within the permitted scope. Requests concerning controlled materials must specify the scientific purpose, requested fields and recipient safeguards. Any consultation requires confirmation of a lawful non-redistributive access mechanism, designated custodian and authorized approval, if such access is permitted. No access mechanism or approval is currently confirmed, and no access is promised.”</w:t>
      </w:r>
    </w:p>
    <w:p>
      <w:r>
        <w:t xml:space="preserve">The author must name and verify a request route and custodian, decide what controlled access is lawful under the license, and approve exact wording. No request has been sent. A controlled-access allowance in Journal Lens policy does not itself grant a license permission or approve access.</w:t>
      </w:r>
    </w:p>
    <w:p>
      <w:pPr>
        <w:pStyle w:val="Heading1"/>
      </w:pPr>
      <w:r>
        <w:t xml:space="preserve">AI assistance</w:t>
      </w:r>
    </w:p>
    <w:p>
      <w:r>
        <w:t xml:space="preserve">Observed local use: a native Agent/model revised the supplied synthetic text, reconciled reported aggregates, drafted responses/correction materials and created editable files and aggregate plot code. It did not obtain raw data, rerun the reported bootstrap, perform experiments or contact third parties. Runtime model version was not separately inspected. Authors must verify content and adapt the disclosure to applicable venue rules; no undisclosed contribution or final author acceptance is inferred.</w:t>
      </w:r>
    </w:p>
    <w:p>
      <w:pPr>
        <w:pStyle w:val="Heading1"/>
      </w:pPr>
      <w:r>
        <w:t xml:space="preserve">Submission and correction approval</w:t>
      </w:r>
    </w:p>
    <w:p>
      <w:r>
        <w:t xml:space="preserve">No external submission, messaging, reviewer contact, publisher action or author declaration was authorized or performed. Final manuscript, responses, declarations, license-compliant sharing and version correction remain subject to author approval. The old public snapshot is preserved verbatim; the correction text is a draft and has not been published.</w:t>
      </w:r>
    </w:p>
    <w:sectPr>
      <w:pgSz w:w="11906" w:h="16838"/>
      <w:pgMar w:top="1440" w:bottom="1440" w:left="1440" w:righ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rPr>
      <w:b/>
      <w:sz w:val="32"/>
    </w:rPr>
  </w:style>
  <w:style w:type="paragraph" w:styleId="Heading1">
    <w:name w:val="heading 1"/>
    <w:basedOn w:val="Normal"/>
    <w:pPr>
      <w:keepNext/>
    </w:pPr>
    <w:rPr>
      <w:b/>
      <w:sz w:val="26"/>
    </w:rPr>
  </w:style>
  <w:style w:type="paragraph" w:styleId="Heading2">
    <w:name w:val="heading 2"/>
    <w:basedOn w:val="Normal"/>
    <w:pPr>
      <w:keepNext/>
    </w:pPr>
    <w:rPr>
      <w:b/>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Synthetic developmental draft</dc:title>
  <dc:creator/>
  <cp:lastModifiedBy/>
</cp:coreProperties>
</file>