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Helvetica Neue" w:eastAsia="PingFang SC"/>
          <w:b/>
          <w:bCs/>
          <w:color w:val="1C1F23"/>
          <w:sz w:val="40"/>
          <w:szCs w:val="40"/>
        </w:rPr>
        <w:t xml:space="preserve">这夏夯爆了 · 夏日集卡活动策划</w:t>
      </w:r>
    </w:p>
    <w:p>
      <w:pPr>
        <w:spacing w:after="60"/>
        <w:jc w:val="center"/>
      </w:pPr>
      <w:r>
        <w:rPr>
          <w:rFonts w:ascii="Helvetica Neue" w:eastAsia="PingFang SC"/>
          <w:color w:val="6B7075"/>
          <w:sz w:val="20"/>
          <w:szCs w:val="20"/>
        </w:rPr>
        <w:t xml:space="preserve">内部沟通版 · 拟定档期 6.30 – 8.31 · 本地生活运营 × 活动产品</w:t>
      </w:r>
    </w:p>
    <w:p>
      <w:pPr>
        <w:pBdr>
          <w:bottom w:val="single" w:color="D5D7DA" w:sz="6" w:space="8"/>
        </w:pBdr>
        <w:spacing w:after="240"/>
        <w:jc w:val="center"/>
      </w:pPr>
      <w:r>
        <w:rPr>
          <w:rFonts w:ascii="Helvetica Neue" w:eastAsia="PingFang SC"/>
          <w:color w:val="6B7075"/>
          <w:sz w:val="20"/>
          <w:szCs w:val="20"/>
        </w:rPr>
        <w:t xml:space="preserve">状态：内部评审中，数据口径与商务额度未终审，先按此版对齐范围</w:t>
      </w:r>
    </w:p>
    <w:p>
      <w:pPr>
        <w:pStyle w:val="Heading1"/>
        <w:spacing w:after="160" w:before="360"/>
      </w:pPr>
      <w:r>
        <w:rPr>
          <w:rFonts w:ascii="Helvetica Neue" w:eastAsia="PingFang SC"/>
          <w:b/>
          <w:bCs/>
          <w:color w:val="1C1F23"/>
          <w:sz w:val="28"/>
          <w:szCs w:val="28"/>
        </w:rPr>
        <w:t xml:space="preserve">一、项目定位及目标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b/>
          <w:bCs/>
          <w:color w:val="1C1F23"/>
          <w:sz w:val="21"/>
          <w:szCs w:val="21"/>
        </w:rPr>
        <w:t xml:space="preserve">项目定位：</w:t>
      </w:r>
      <w:r>
        <w:rPr>
          <w:rFonts w:ascii="Helvetica Neue" w:eastAsia="PingFang SC"/>
          <w:color w:val="1C1F23"/>
          <w:sz w:val="21"/>
          <w:szCs w:val="21"/>
        </w:rPr>
        <w:t xml:space="preserve">面向 C 端用户的夏季夜宵消费事件。不同于以往偏商家侧的补贴活动，本次以「集卡」作为主线，把到店核销与内容投稿串在一条链路上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b/>
          <w:bCs/>
          <w:color w:val="1C1F23"/>
          <w:sz w:val="21"/>
          <w:szCs w:val="21"/>
        </w:rPr>
        <w:t xml:space="preserve">核心目标：</w:t>
      </w:r>
      <w:r>
        <w:rPr>
          <w:rFonts w:ascii="Helvetica Neue" w:eastAsia="PingFang SC"/>
          <w:color w:val="1C1F23"/>
          <w:sz w:val="21"/>
          <w:szCs w:val="21"/>
        </w:rPr>
        <w:t xml:space="preserve">拉动夏季夜间时段的到店核销，同时沉淀一批夜宵场景的用户内容，让用户形成「夏天吃夜宵上抖音领券」的心智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b/>
          <w:bCs/>
          <w:color w:val="1C1F23"/>
          <w:sz w:val="21"/>
          <w:szCs w:val="21"/>
        </w:rPr>
        <w:t xml:space="preserve">目标人群：</w:t>
      </w:r>
      <w:r>
        <w:rPr>
          <w:rFonts w:ascii="Helvetica Neue" w:eastAsia="PingFang SC"/>
          <w:color w:val="1C1F23"/>
          <w:sz w:val="21"/>
          <w:szCs w:val="21"/>
        </w:rPr>
        <w:t xml:space="preserve">18–35 岁本地生活用户，重点覆盖夜宵高频人群</w:t>
      </w:r>
    </w:p>
    <w:p>
      <w:pPr>
        <w:pBdr>
          <w:left w:val="single" w:color="D5D7DA" w:sz="12" w:space="12"/>
        </w:pBdr>
        <w:spacing w:after="120" w:line="300"/>
        <w:ind w:left="240"/>
      </w:pPr>
      <w:r>
        <w:rPr>
          <w:rFonts w:ascii="Helvetica Neue" w:eastAsia="PingFang SC"/>
          <w:color w:val="6B7075"/>
          <w:sz w:val="20"/>
          <w:szCs w:val="20"/>
        </w:rPr>
        <w:t xml:space="preserve">参考：某平台的集卡换购、便利店集点兑换。共同点是「低门槛起步 + 稀缺项收尾」，前期让人轻松摸到第一档，后期靠稀缺款拉长参与周期。</w:t>
      </w:r>
    </w:p>
    <w:p>
      <w:pPr>
        <w:pStyle w:val="Heading3"/>
        <w:spacing w:after="100" w:before="180"/>
      </w:pPr>
      <w:r>
        <w:rPr>
          <w:rFonts w:ascii="Helvetica Neue" w:eastAsia="PingFang SC"/>
          <w:b/>
          <w:bCs/>
          <w:color w:val="1C1F23"/>
          <w:sz w:val="22"/>
          <w:szCs w:val="22"/>
        </w:rPr>
        <w:t xml:space="preserve">数据指标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200"/>
      </w:tblGrid>
      <w:tr>
        <w:tc>
          <w:tcPr>
            <w:tcW w:type="dxa" w:w="2400"/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/>
                <w:bCs/>
                <w:color w:val="1C1F23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/>
                <w:bCs/>
                <w:color w:val="1C1F23"/>
                <w:sz w:val="20"/>
                <w:szCs w:val="20"/>
              </w:rPr>
              <w:t xml:space="preserve">目标</w:t>
            </w:r>
          </w:p>
        </w:tc>
        <w:tc>
          <w:tcPr>
            <w:tcW w:type="dxa" w:w="4200"/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/>
                <w:bCs/>
                <w:color w:val="1C1F23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夏季夜宵券核销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B45309"/>
                <w:sz w:val="20"/>
                <w:szCs w:val="20"/>
              </w:rPr>
              <w:t xml:space="preserve">xx 万单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B45309"/>
                <w:sz w:val="20"/>
                <w:szCs w:val="20"/>
              </w:rPr>
              <w:t xml:space="preserve">其中新客占比 xx%，待业务侧回填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主话题 vv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B45309"/>
                <w:sz w:val="20"/>
                <w:szCs w:val="20"/>
              </w:rPr>
              <w:t xml:space="preserve">xx 亿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#这夏夯爆了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活动页参与人数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B45309"/>
                <w:sz w:val="20"/>
                <w:szCs w:val="20"/>
              </w:rPr>
              <w:t xml:space="preserve">xx 万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完成首次抽卡的去重用户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带话题投稿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B45309"/>
                <w:sz w:val="20"/>
                <w:szCs w:val="20"/>
              </w:rPr>
              <w:t xml:space="preserve">xx 万条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B45309"/>
                <w:sz w:val="20"/>
                <w:szCs w:val="20"/>
              </w:rPr>
              <w:t xml:space="preserve">其中优质内容 xx 条</w:t>
            </w:r>
          </w:p>
        </w:tc>
      </w:tr>
    </w:tbl>
    <w:p>
      <w:pPr>
        <w:spacing w:after="120"/>
      </w:pPr>
    </w:p>
    <w:p>
      <w:pPr>
        <w:pStyle w:val="Heading3"/>
        <w:spacing w:after="100" w:before="180"/>
      </w:pPr>
      <w:r>
        <w:rPr>
          <w:rFonts w:ascii="Helvetica Neue" w:eastAsia="PingFang SC"/>
          <w:b/>
          <w:bCs/>
          <w:color w:val="1C1F23"/>
          <w:sz w:val="22"/>
          <w:szCs w:val="22"/>
        </w:rPr>
        <w:t xml:space="preserve">核心策略 / 原则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门槛前低后高：第一档必须当天就能摸到，不能让人第一天就放弃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奖励要有稀缺项收尾，否则中后期没有奔头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卡要能送人，社交扩散是这类玩法最便宜的增长</w:t>
      </w:r>
    </w:p>
    <w:p>
      <w:pPr>
        <w:pStyle w:val="Heading1"/>
        <w:spacing w:after="160" w:before="360"/>
      </w:pPr>
      <w:r>
        <w:rPr>
          <w:rFonts w:ascii="Helvetica Neue" w:eastAsia="PingFang SC"/>
          <w:b/>
          <w:bCs/>
          <w:color w:val="1C1F23"/>
          <w:sz w:val="28"/>
          <w:szCs w:val="28"/>
        </w:rPr>
        <w:t xml:space="preserve">二、活动形式</w:t>
      </w:r>
    </w:p>
    <w:p>
      <w:pPr>
        <w:pStyle w:val="Heading2"/>
        <w:spacing w:after="120" w:before="260"/>
      </w:pPr>
      <w:r>
        <w:rPr>
          <w:rFonts w:ascii="Helvetica Neue" w:eastAsia="PingFang SC"/>
          <w:b/>
          <w:bCs/>
          <w:color w:val="1C1F23"/>
          <w:sz w:val="24"/>
          <w:szCs w:val="24"/>
        </w:rPr>
        <w:t xml:space="preserve">集卡主线（全周期）</w:t>
      </w:r>
    </w:p>
    <w:p>
      <w:pPr>
        <w:pStyle w:val="Heading3"/>
        <w:spacing w:after="100" w:before="180"/>
      </w:pPr>
      <w:r>
        <w:rPr>
          <w:rFonts w:ascii="Helvetica Neue" w:eastAsia="PingFang SC"/>
          <w:b/>
          <w:bCs/>
          <w:color w:val="1C1F23"/>
          <w:sz w:val="22"/>
          <w:szCs w:val="22"/>
        </w:rPr>
        <w:t xml:space="preserve">1）内容呈现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活动设 9 种虚拟夜食卡：沸腾火锅 / 红火小龙虾 / 滋滋烤肉 / 鲜烧黄鱼 / 浓香披萨 / 香脆炸鸡 / 冰爽柠檬茶 / 解馋卤味 / 上头螺蛳粉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未获得的卡在卡槽中呈石膏灰态，获得后点亮；主会场一屏内要能看全进度</w:t>
      </w:r>
    </w:p>
    <w:p>
      <w:pPr>
        <w:spacing w:after="40" w:before="120"/>
        <w:jc w:val="center"/>
      </w:pPr>
      <w:r>
        <w:drawing>
          <wp:inline distT="0" distB="0" distL="0" distR="0">
            <wp:extent cx="3048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 Neue" w:eastAsia="PingFang SC"/>
          <w:color w:val="6B7075"/>
          <w:sz w:val="18"/>
          <w:szCs w:val="18"/>
        </w:rPr>
        <w:t xml:space="preserve">图 1 · 卡面双态草图（左：已获得彩色态 / 右：未获得石膏灰态）</w:t>
      </w:r>
    </w:p>
    <w:p>
      <w:pPr>
        <w:pStyle w:val="Heading3"/>
        <w:spacing w:after="100" w:before="180"/>
      </w:pPr>
      <w:r>
        <w:rPr>
          <w:rFonts w:ascii="Helvetica Neue" w:eastAsia="PingFang SC"/>
          <w:b/>
          <w:bCs/>
          <w:color w:val="1C1F23"/>
          <w:sz w:val="22"/>
          <w:szCs w:val="22"/>
        </w:rPr>
        <w:t xml:space="preserve">2）用户参与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完成任务获得抽卡机会，抽卡开出随机夜食卡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集齐 2 / 4 / 7 / 9 种，分别解锁 2 元夜食券、5 元夜食券、43 元夜食券包、实物「小马黄金转运珠」；奖励可叠加领取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同一种卡持有 2 张以上可赠送好友，好友领取后双方各得 1 次抽卡机会</w:t>
      </w:r>
    </w:p>
    <w:p>
      <w:pPr>
        <w:pStyle w:val="Heading3"/>
        <w:spacing w:after="100" w:before="180"/>
      </w:pPr>
      <w:r>
        <w:rPr>
          <w:rFonts w:ascii="Helvetica Neue" w:eastAsia="PingFang SC"/>
          <w:b/>
          <w:bCs/>
          <w:color w:val="1C1F23"/>
          <w:sz w:val="22"/>
          <w:szCs w:val="22"/>
        </w:rPr>
        <w:t xml:space="preserve">3）激励形式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800"/>
      </w:tblGrid>
      <w:tr>
        <w:tc>
          <w:tcPr>
            <w:tcW w:type="dxa" w:w="3600"/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/>
                <w:bCs/>
                <w:color w:val="1C1F23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/>
                <w:bCs/>
                <w:color w:val="1C1F23"/>
                <w:sz w:val="20"/>
                <w:szCs w:val="20"/>
              </w:rPr>
              <w:t xml:space="preserve">奖励</w:t>
            </w:r>
          </w:p>
        </w:tc>
        <w:tc>
          <w:tcPr>
            <w:tcW w:type="dxa" w:w="1800"/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/>
                <w:bCs/>
                <w:color w:val="1C1F23"/>
                <w:sz w:val="20"/>
                <w:szCs w:val="20"/>
              </w:rPr>
              <w:t xml:space="preserve">每日上限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每日首次进入活动页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+1 次抽卡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1 次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带定位&amp;话题投稿分享夏日夜食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+2 次抽卡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5 次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给朋友赠送一张美食卡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+1 次抽卡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3 次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浏览合作商家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+1 次抽卡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3 次</w:t>
            </w:r>
          </w:p>
        </w:tc>
      </w:tr>
    </w:tbl>
    <w:p>
      <w:pPr>
        <w:spacing w:after="120"/>
      </w:pPr>
    </w:p>
    <w:p>
      <w:pPr>
        <w:pStyle w:val="Heading3"/>
        <w:spacing w:after="100" w:before="180"/>
      </w:pPr>
      <w:r>
        <w:rPr>
          <w:rFonts w:ascii="Helvetica Neue" w:eastAsia="PingFang SC"/>
          <w:b/>
          <w:bCs/>
          <w:color w:val="1C1F23"/>
          <w:sz w:val="22"/>
          <w:szCs w:val="22"/>
        </w:rPr>
        <w:t xml:space="preserve">4）页面展示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主会场：头图 + 抽卡入口 + 集卡进度 + 奖励档位 + 任务区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抽到卡后要有单独的展示页，卡册可查看全部 9 种与赠送状态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兑奖与规则以弹窗形式承载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 Neue" w:eastAsia="PingFang SC"/>
          <w:color w:val="6B7075"/>
          <w:sz w:val="18"/>
          <w:szCs w:val="18"/>
        </w:rPr>
        <w:t xml:space="preserve">图 2 · 主会场结构草图（比例不作数，以实际产出为准）</w:t>
      </w:r>
    </w:p>
    <w:p>
      <w:pPr>
        <w:pStyle w:val="Heading3"/>
        <w:spacing w:after="100" w:before="180"/>
      </w:pPr>
      <w:r>
        <w:rPr>
          <w:rFonts w:ascii="Helvetica Neue" w:eastAsia="PingFang SC"/>
          <w:b/>
          <w:bCs/>
          <w:color w:val="1C1F23"/>
          <w:sz w:val="22"/>
          <w:szCs w:val="22"/>
        </w:rPr>
        <w:t xml:space="preserve">视觉与 IP</w:t>
      </w:r>
    </w:p>
    <w:p>
      <w:pPr>
        <w:spacing w:after="12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整体走「盛夏夜市」方向：高饱和暖色、食物光泽、烟火气。活动奖品与页面元素统一使用小马 IP（红色圆润玩具体、深棕鬃毛、米色口鼻），方向涂鸦如下 —— 具体建模与素材交给设计侧产出，但标注的识别特征要保留。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 Neue" w:eastAsia="PingFang SC"/>
          <w:color w:val="6B7075"/>
          <w:sz w:val="18"/>
          <w:szCs w:val="18"/>
        </w:rPr>
        <w:t xml:space="preserve">图 3 · 小马 IP 方向涂鸦（实物奖「小马黄金转运珠」同源）</w:t>
      </w:r>
    </w:p>
    <w:p>
      <w:pPr>
        <w:pStyle w:val="Heading2"/>
        <w:spacing w:after="120" w:before="260"/>
      </w:pPr>
      <w:r>
        <w:rPr>
          <w:rFonts w:ascii="Helvetica Neue" w:eastAsia="PingFang SC"/>
          <w:b/>
          <w:bCs/>
          <w:color w:val="1C1F23"/>
          <w:sz w:val="24"/>
          <w:szCs w:val="24"/>
        </w:rPr>
        <w:t xml:space="preserve">接金豆小游戏（待定）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烹饪得金豆，金豆兑团购券。作为抽卡机会的补充来源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依赖小游戏侧排期，能否进本期待定</w:t>
      </w:r>
    </w:p>
    <w:p>
      <w:pPr>
        <w:pStyle w:val="Heading2"/>
        <w:spacing w:after="120" w:before="260"/>
      </w:pPr>
      <w:r>
        <w:rPr>
          <w:rFonts w:ascii="Helvetica Neue" w:eastAsia="PingFang SC"/>
          <w:b/>
          <w:bCs/>
          <w:color w:val="1C1F23"/>
          <w:sz w:val="24"/>
          <w:szCs w:val="24"/>
        </w:rPr>
        <w:t xml:space="preserve">投稿任务体系（待定）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话题运营 + 灵感话题聚合页，依赖内容侧排期</w:t>
      </w:r>
    </w:p>
    <w:p>
      <w:pPr>
        <w:pStyle w:val="Heading1"/>
        <w:spacing w:after="160" w:before="360"/>
      </w:pPr>
      <w:r>
        <w:rPr>
          <w:rFonts w:ascii="Helvetica Neue" w:eastAsia="PingFang SC"/>
          <w:b/>
          <w:bCs/>
          <w:color w:val="1C1F23"/>
          <w:sz w:val="28"/>
          <w:szCs w:val="28"/>
        </w:rPr>
        <w:t xml:space="preserve">三、活动时间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600"/>
      </w:tblGrid>
      <w:tr>
        <w:tc>
          <w:tcPr>
            <w:tcW w:type="dxa" w:w="1600"/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/>
                <w:bCs/>
                <w:color w:val="1C1F23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/>
                <w:bCs/>
                <w:color w:val="1C1F23"/>
                <w:sz w:val="20"/>
                <w:szCs w:val="20"/>
              </w:rPr>
              <w:t xml:space="preserve">时间</w:t>
            </w:r>
          </w:p>
        </w:tc>
        <w:tc>
          <w:tcPr>
            <w:tcW w:type="dxa" w:w="4600"/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/>
                <w:bCs/>
                <w:color w:val="1C1F2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预热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6.30 – 7.06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开放集卡，先放低门槛档位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主推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7.07 – 8.17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任务全量开放，加投稿激励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收官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8.18 – 8.31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Helvetica Neue" w:eastAsia="PingFang SC"/>
                <w:b w:val="false"/>
                <w:bCs w:val="false"/>
                <w:color w:val="1C1F23"/>
                <w:sz w:val="20"/>
                <w:szCs w:val="20"/>
              </w:rPr>
              <w:t xml:space="preserve">兑换倒计时，清库存</w:t>
            </w:r>
          </w:p>
        </w:tc>
      </w:tr>
    </w:tbl>
    <w:p>
      <w:pPr>
        <w:spacing w:after="120"/>
      </w:pPr>
    </w:p>
    <w:p>
      <w:pPr>
        <w:pBdr>
          <w:left w:val="single" w:color="D5D7DA" w:sz="12" w:space="12"/>
        </w:pBdr>
        <w:spacing w:after="120" w:line="300"/>
        <w:ind w:left="240"/>
      </w:pPr>
      <w:r>
        <w:rPr>
          <w:rFonts w:ascii="Helvetica Neue" w:eastAsia="PingFang SC"/>
          <w:color w:val="6B7075"/>
          <w:sz w:val="20"/>
          <w:szCs w:val="20"/>
        </w:rPr>
        <w:t xml:space="preserve">收官期的兑换截止时间待定，需与券系统对齐。</w:t>
      </w:r>
    </w:p>
    <w:p>
      <w:pPr>
        <w:pStyle w:val="Heading1"/>
        <w:spacing w:after="160" w:before="360"/>
      </w:pPr>
      <w:r>
        <w:rPr>
          <w:rFonts w:ascii="Helvetica Neue" w:eastAsia="PingFang SC"/>
          <w:b/>
          <w:bCs/>
          <w:color w:val="1C1F23"/>
          <w:sz w:val="28"/>
          <w:szCs w:val="28"/>
        </w:rPr>
        <w:t xml:space="preserve">四、待确认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数据指标中的 xx 待业务侧补齐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券面额度待商务终审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「小马黄金转运珠」的库存与发放方式未定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 Neue" w:eastAsia="PingFang SC"/>
          <w:color w:val="1C1F23"/>
          <w:sz w:val="21"/>
          <w:szCs w:val="21"/>
        </w:rPr>
        <w:t xml:space="preserve">品牌合作位与线下物料排期另有专项，不在本次页面范围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eastAsia="PingFang SC"/>
        <w:color w:val="1C1F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75a36d9bae0d5601a4964c0e414a4534feb05b.png"/><Relationship Id="rId8" Type="http://schemas.openxmlformats.org/officeDocument/2006/relationships/image" Target="media/5162d6724fdabc708583e5ed03d6667418ea9381.png"/><Relationship Id="rId9" Type="http://schemas.openxmlformats.org/officeDocument/2006/relationships/image" Target="media/2f13419d406cdcd593c262729986bb790fb80e9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2026-08-03T09:47:59.499Z</dcterms:created>
  <dcterms:modified xsi:type="dcterms:W3CDTF">2026-08-03T09:47:59.501Z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