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 w:val="1"/>
      </w:pPr>
      <w:r>
        <w:rPr>
          <w:rFonts w:ascii="Arial Unicode MS" w:hAnsi="Arial Unicode MS" w:eastAsia="Arial Unicode MS"/>
          <w:b/>
          <w:color w:val="0F2F52"/>
          <w:sz w:val="50"/>
        </w:rPr>
        <w:t>这夏夯爆了</w:t>
      </w:r>
    </w:p>
    <w:p>
      <w:pPr>
        <w:pStyle w:val="Subtitle"/>
        <w:widowControl w:val="1"/>
      </w:pPr>
      <w:r>
        <w:rPr>
          <w:rFonts w:ascii="Arial Unicode MS" w:hAnsi="Arial Unicode MS" w:eastAsia="Arial Unicode MS"/>
          <w:color w:val="64748B"/>
          <w:sz w:val="27"/>
        </w:rPr>
        <w:t>夏日夜宵集卡营销活动 · 产品需求文档（PRD）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文档版本：</w:t>
      </w:r>
      <w:r>
        <w:rPr>
          <w:rFonts w:ascii="Arial Unicode MS" w:hAnsi="Arial Unicode MS" w:eastAsia="Arial Unicode MS"/>
          <w:color w:val="1F2937"/>
          <w:sz w:val="21"/>
        </w:rPr>
        <w:t>V1.0 · 可用于 AI 工坊 0→1 搭建模拟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文档状态：</w:t>
      </w:r>
      <w:r>
        <w:rPr>
          <w:rFonts w:ascii="Arial Unicode MS" w:hAnsi="Arial Unicode MS" w:eastAsia="Arial Unicode MS"/>
          <w:color w:val="1F2937"/>
          <w:sz w:val="21"/>
        </w:rPr>
        <w:t>内部评审稿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项目负责人：</w:t>
      </w:r>
      <w:r>
        <w:rPr>
          <w:rFonts w:ascii="Arial Unicode MS" w:hAnsi="Arial Unicode MS" w:eastAsia="Arial Unicode MS"/>
          <w:color w:val="1F2937"/>
          <w:sz w:val="21"/>
        </w:rPr>
        <w:t>活动产品 / 本地生活运营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目标载体：</w:t>
      </w:r>
      <w:r>
        <w:rPr>
          <w:rFonts w:ascii="Arial Unicode MS" w:hAnsi="Arial Unicode MS" w:eastAsia="Arial Unicode MS"/>
          <w:color w:val="1F2937"/>
          <w:sz w:val="21"/>
        </w:rPr>
        <w:t>移动端营销 H5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拟定档期：</w:t>
      </w:r>
      <w:r>
        <w:rPr>
          <w:rFonts w:ascii="Arial Unicode MS" w:hAnsi="Arial Unicode MS" w:eastAsia="Arial Unicode MS"/>
          <w:color w:val="1F2937"/>
          <w:sz w:val="21"/>
        </w:rPr>
        <w:t>2026-06-30 至 2026-08-31</w:t>
      </w:r>
    </w:p>
    <w:p>
      <w:pPr>
        <w:spacing w:after="40"/>
        <w:widowControl w:val="1"/>
      </w:pPr>
      <w:r>
        <w:rPr>
          <w:rFonts w:ascii="Arial Unicode MS" w:hAnsi="Arial Unicode MS" w:eastAsia="Arial Unicode MS"/>
          <w:b/>
          <w:color w:val="0F2F52"/>
          <w:sz w:val="21"/>
        </w:rPr>
        <w:t>最后更新：</w:t>
      </w:r>
      <w:r>
        <w:rPr>
          <w:rFonts w:ascii="Arial Unicode MS" w:hAnsi="Arial Unicode MS" w:eastAsia="Arial Unicode MS"/>
          <w:color w:val="1F2937"/>
          <w:sz w:val="21"/>
        </w:rPr>
        <w:t>2026-08-03</w:t>
      </w:r>
    </w:p>
    <w:p>
      <w:pPr>
        <w:spacing w:before="120" w:after="200" w:line="276" w:lineRule="auto"/>
        <w:ind w:left="173" w:right="115"/>
        <w:shd w:fill="EAF2F8"/>
        <w:pBdr>
          <w:left w:val="single" w:sz="18" w:space="6" w:color="2E74B5"/>
        </w:pBdr>
        <w:widowControl w:val="1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一句话目标  </w:t>
      </w:r>
      <w:r>
        <w:rPr>
          <w:rFonts w:ascii="Arial Unicode MS" w:hAnsi="Arial Unicode MS" w:eastAsia="Arial Unicode MS"/>
          <w:color w:val="1F2937"/>
          <w:sz w:val="21"/>
        </w:rPr>
        <w:t>用“每天抽夜食卡、集齐兑券与红包”的轻量玩法，串联夜宵消费、内容投稿和好友赠送，形成连续 8 周的夏日回访。</w:t>
      </w:r>
    </w:p>
    <w:p>
      <w:pPr>
        <w:pStyle w:val="Heading1"/>
        <w:widowControl w:val="1"/>
      </w:pPr>
      <w:r>
        <w:t>1. 文档说明</w:t>
      </w:r>
    </w:p>
    <w:p>
      <w:pPr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本文档用于活动产品、设计、研发、运营和 QA 对齐范围，也可直接上传至 AI 工坊，模拟从需求解析、页面框架、视觉素材到 H5 成品的完整搭建过程。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优先级说明：</w:t>
      </w:r>
      <w:r>
        <w:rPr>
          <w:rFonts w:ascii="Arial Unicode MS" w:hAnsi="Arial Unicode MS" w:eastAsia="Arial Unicode MS"/>
          <w:color w:val="1F2937"/>
          <w:sz w:val="22"/>
        </w:rPr>
        <w:t>P0 为首发必须，P1 为可在主推期补齐，P2 为二期候选。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约定：</w:t>
      </w:r>
      <w:r>
        <w:rPr>
          <w:rFonts w:ascii="Arial Unicode MS" w:hAnsi="Arial Unicode MS" w:eastAsia="Arial Unicode MS"/>
          <w:color w:val="1F2937"/>
          <w:sz w:val="22"/>
        </w:rPr>
        <w:t>文中出现“xx”的指标代表业务尚未回填，不阻塞页面搭建。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首发范围：</w:t>
      </w:r>
      <w:r>
        <w:rPr>
          <w:rFonts w:ascii="Arial Unicode MS" w:hAnsi="Arial Unicode MS" w:eastAsia="Arial Unicode MS"/>
          <w:color w:val="1F2937"/>
          <w:sz w:val="22"/>
        </w:rPr>
        <w:t>活动主会场、开卡结算、卡册、兑奖弹窗、活动规则共 5 个页面。</w:t>
      </w:r>
    </w:p>
    <w:p>
      <w:pPr>
        <w:pStyle w:val="Heading1"/>
        <w:widowControl w:val="1"/>
      </w:pPr>
      <w:r>
        <w:t>2. 项目背景与核心目标</w:t>
      </w:r>
    </w:p>
    <w:p>
      <w:pPr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夏季 19:00–02:00 是夜宵消费高峰，但用户回访和内容沉淀不足。本项目通过“夜食卡”把到店核销、话题投稿、好友赠送与合作商家浏览串在同一条成长链路中。</w:t>
      </w:r>
    </w:p>
    <w:p>
      <w:pPr>
        <w:pStyle w:val="Heading2"/>
        <w:widowControl w:val="1"/>
      </w:pPr>
      <w:r>
        <w:t>2.1 目标人群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18–35 岁本地生活用户，重点覆盖夜宵高频人群。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偏好轻任务、即时反馈、可分享收集内容的年轻用户。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合作商家周边 3–5 公里内的潜在到店用户。</w:t>
      </w:r>
    </w:p>
    <w:p>
      <w:pPr>
        <w:pStyle w:val="Heading2"/>
        <w:widowControl w:val="1"/>
      </w:pPr>
      <w:r>
        <w:t>2.2 核心指标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1500"/>
        <w:gridCol w:w="3300"/>
        <w:gridCol w:w="2460"/>
      </w:tblGrid>
      <w:tr>
        <w:trPr>
          <w:tblHeader w:val="true"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指标</w:t>
            </w:r>
          </w:p>
        </w:tc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目标值</w:t>
            </w:r>
          </w:p>
        </w:tc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口径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状态</w:t>
            </w:r>
          </w:p>
        </w:tc>
      </w:tr>
      <w:tr>
        <w:trPr/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到店核销单量</w:t>
            </w:r>
          </w:p>
        </w:tc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xx 万单</w:t>
            </w:r>
          </w:p>
        </w:tc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活动券核销成功订单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待商务回填</w:t>
            </w:r>
          </w:p>
        </w:tc>
      </w:tr>
      <w:tr>
        <w:trPr/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主话题播放量</w:t>
            </w:r>
          </w:p>
        </w:tc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xx 亿</w:t>
            </w:r>
          </w:p>
        </w:tc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#这夏夯爆了 累计播放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待运营回填</w:t>
            </w:r>
          </w:p>
        </w:tc>
      </w:tr>
      <w:tr>
        <w:trPr/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活动参与人数</w:t>
            </w:r>
          </w:p>
        </w:tc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xx 万人</w:t>
            </w:r>
          </w:p>
        </w:tc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完成首次抽卡的去重用户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待数据回填</w:t>
            </w:r>
          </w:p>
        </w:tc>
      </w:tr>
      <w:tr>
        <w:trPr/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用户投稿量</w:t>
            </w:r>
          </w:p>
        </w:tc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xx 万条</w:t>
            </w:r>
          </w:p>
        </w:tc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带指定话题且审核通过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待内容侧回填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3. 活动节奏与范围</w:t>
      </w:r>
    </w:p>
    <w:p>
      <w:pPr>
        <w:pStyle w:val="Heading2"/>
        <w:widowControl w:val="1"/>
      </w:pPr>
      <w:r>
        <w:t>3.1 三阶段节奏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200"/>
        <w:gridCol w:w="1800"/>
        <w:gridCol w:w="3200"/>
        <w:gridCol w:w="3160"/>
      </w:tblGrid>
      <w:tr>
        <w:trPr>
          <w:tblHeader w:val="true"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阶段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日期</w:t>
            </w:r>
          </w:p>
        </w:tc>
        <w:tc>
          <w:tcPr>
            <w:tcW w:type="dxa" w:w="3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产品策略</w:t>
            </w:r>
          </w:p>
        </w:tc>
        <w:tc>
          <w:tcPr>
            <w:tcW w:type="dxa" w:w="3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运营重点</w:t>
            </w:r>
          </w:p>
        </w:tc>
      </w:tr>
      <w:tr>
        <w:trPr/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预热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06.30–07.06</w:t>
            </w:r>
          </w:p>
        </w:tc>
        <w:tc>
          <w:tcPr>
            <w:tcW w:type="dxa" w:w="3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开放集卡与低门槛奖励</w:t>
            </w:r>
          </w:p>
        </w:tc>
        <w:tc>
          <w:tcPr>
            <w:tcW w:type="dxa" w:w="3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建立认知、验证首抽转化</w:t>
            </w:r>
          </w:p>
        </w:tc>
      </w:tr>
      <w:tr>
        <w:trPr/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主推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07.07–08.17</w:t>
            </w:r>
          </w:p>
        </w:tc>
        <w:tc>
          <w:tcPr>
            <w:tcW w:type="dxa" w:w="3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任务全量开放，接入投稿激励</w:t>
            </w:r>
          </w:p>
        </w:tc>
        <w:tc>
          <w:tcPr>
            <w:tcW w:type="dxa" w:w="3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拉新、回访、UGC 扩散</w:t>
            </w:r>
          </w:p>
        </w:tc>
      </w:tr>
      <w:tr>
        <w:trPr/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收官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08.18–08.31</w:t>
            </w:r>
          </w:p>
        </w:tc>
        <w:tc>
          <w:tcPr>
            <w:tcW w:type="dxa" w:w="3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兑换倒计时、库存提醒</w:t>
            </w:r>
          </w:p>
        </w:tc>
        <w:tc>
          <w:tcPr>
            <w:tcW w:type="dxa" w:w="3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促进核销、清理剩余权益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3.2 范围边界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首发纳入：</w:t>
      </w:r>
      <w:r>
        <w:rPr>
          <w:rFonts w:ascii="Arial Unicode MS" w:hAnsi="Arial Unicode MS" w:eastAsia="Arial Unicode MS"/>
          <w:color w:val="1F2937"/>
          <w:sz w:val="22"/>
        </w:rPr>
        <w:t>集美食卡兑奖励、接金豆补充抽卡次数。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二期候选：</w:t>
      </w:r>
      <w:r>
        <w:rPr>
          <w:rFonts w:ascii="Arial Unicode MS" w:hAnsi="Arial Unicode MS" w:eastAsia="Arial Unicode MS"/>
          <w:color w:val="1F2937"/>
          <w:sz w:val="22"/>
        </w:rPr>
        <w:t>投稿任务体系的排行榜、作者激励与内容聚合页。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b/>
          <w:color w:val="1F2937"/>
          <w:sz w:val="22"/>
        </w:rPr>
        <w:t>本期不做：</w:t>
      </w:r>
      <w:r>
        <w:rPr>
          <w:rFonts w:ascii="Arial Unicode MS" w:hAnsi="Arial Unicode MS" w:eastAsia="Arial Unicode MS"/>
          <w:color w:val="1F2937"/>
          <w:sz w:val="22"/>
        </w:rPr>
        <w:t>线下物料排期、商家结算后台、完整 CRM 人群圈选。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4. 候选玩法与选择结论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000"/>
        <w:gridCol w:w="1700"/>
        <w:gridCol w:w="2460"/>
      </w:tblGrid>
      <w:tr>
        <w:trPr>
          <w:tblHeader w:val="true"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候选玩法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用户价值</w:t>
            </w:r>
          </w:p>
        </w:tc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实现复杂度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本期结论</w:t>
            </w:r>
          </w:p>
        </w:tc>
      </w:tr>
      <w:tr>
        <w:trPr/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集美食卡兑奖励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收集反馈强、奖励路径清晰</w:t>
            </w:r>
          </w:p>
        </w:tc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 主玩法</w:t>
            </w:r>
          </w:p>
        </w:tc>
      </w:tr>
      <w:tr>
        <w:trPr/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接金豆小游戏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补充抽卡次数，提升停留</w:t>
            </w:r>
          </w:p>
        </w:tc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中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P1 辅助入口</w:t>
            </w:r>
          </w:p>
        </w:tc>
      </w:tr>
      <w:tr>
        <w:trPr/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投稿任务体系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促进 UGC 与话题传播</w:t>
            </w:r>
          </w:p>
        </w:tc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高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P2 二期</w:t>
            </w:r>
          </w:p>
        </w:tc>
      </w:tr>
    </w:tbl>
    <w:p>
      <w:pPr>
        <w:spacing w:after="40"/>
        <w:widowControl w:val="1"/>
      </w:pPr>
    </w:p>
    <w:p>
      <w:pPr>
        <w:spacing w:before="120" w:after="200" w:line="276" w:lineRule="auto"/>
        <w:ind w:left="173" w:right="115"/>
        <w:shd w:fill="F4F6F9"/>
        <w:pBdr>
          <w:left w:val="single" w:sz="18" w:space="6" w:color="2E74B5"/>
        </w:pBdr>
        <w:widowControl w:val="1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选择结论  </w:t>
      </w:r>
      <w:r>
        <w:rPr>
          <w:rFonts w:ascii="Arial Unicode MS" w:hAnsi="Arial Unicode MS" w:eastAsia="Arial Unicode MS"/>
          <w:color w:val="1F2937"/>
          <w:sz w:val="21"/>
        </w:rPr>
        <w:t>首发以集卡为主链路；接金豆仅作为抽卡次数补充，不影响用户理解；投稿体系待内容侧排期明确后再上线。</w:t>
      </w:r>
    </w:p>
    <w:p>
      <w:pPr>
        <w:pStyle w:val="Heading1"/>
        <w:widowControl w:val="1"/>
      </w:pPr>
      <w:r>
        <w:t>5. 核心玩法：夏日夜食集卡</w:t>
      </w:r>
    </w:p>
    <w:p>
      <w:pPr>
        <w:pStyle w:val="Heading2"/>
        <w:widowControl w:val="1"/>
      </w:pPr>
      <w:r>
        <w:t>5.1 用户主流程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用户进入主会场，系统发放当日首次进入的 1 次抽卡机会。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点击“抽夏日夜食”，播放开卡动效并展示本次获得的卡片。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卡片自动写入“我的夜食”；重复卡累计数量，可赠送给好友。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集齐 2 / 4 / 7 / 9 种不同卡片后，依次解锁对应奖励档位。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用户领取奖励后进入“我的奖品”，查看券码、有效期与使用说明。</w:t>
      </w:r>
    </w:p>
    <w:p>
      <w:pPr>
        <w:pStyle w:val="ListParagraph"/>
        <w:numPr>
          <w:ilvl w:val="0"/>
          <w:numId w:val="11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收官阶段展示兑换倒计时；过期后停止抽卡，仅保留奖品查询。</w:t>
      </w:r>
    </w:p>
    <w:p>
      <w:pPr>
        <w:pStyle w:val="Heading2"/>
        <w:widowControl w:val="1"/>
      </w:pPr>
      <w:r>
        <w:t>5.2 抽卡次数来源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1200"/>
        <w:gridCol w:w="3900"/>
        <w:gridCol w:w="1960"/>
      </w:tblGrid>
      <w:tr>
        <w:trPr>
          <w:tblHeader w:val="true"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任务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次数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完成条件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每日上限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每日首次进入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+1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当日首次打开活动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发布带话题投稿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+2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投稿审核通过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赠送好友夜食卡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+1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好友成功领取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浏览合作商家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+1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停留满 10 秒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接金豆小游戏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+1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单局达到目标分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5.3 卡池（9 种）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000"/>
        <w:gridCol w:w="2300"/>
        <w:gridCol w:w="3900"/>
        <w:gridCol w:w="2160"/>
      </w:tblGrid>
      <w:tr>
        <w:trPr>
          <w:tblHeader w:val="true"/>
        </w:trPr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编号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卡片名称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视觉关键词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初始稀有度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C01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沸腾火锅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红汤、蒸汽、铜锅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C02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红火小龙虾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大红、麻辣、夜市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C03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滋滋烤肉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炭火、油亮、烤架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C04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鲜烧黄鱼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金黄、海味、铁盘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C05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浓香披萨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拉丝、芝士、暖黄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C06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香脆炸鸡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酥脆、纸桶、橙金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普通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C07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冰爽柠檬茶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冰块、气泡、青黄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稀有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C08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解馋卤味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卤香、深棕、拼盘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稀有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C09</w:t>
            </w:r>
          </w:p>
        </w:tc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上头螺蛳粉</w:t>
            </w:r>
          </w:p>
        </w:tc>
        <w:tc>
          <w:tcPr>
            <w:tcW w:type="dxa" w:w="3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酸辣、红油、烟火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稀有</w:t>
            </w:r>
          </w:p>
        </w:tc>
      </w:tr>
    </w:tbl>
    <w:p>
      <w:pPr>
        <w:spacing w:after="40"/>
        <w:widowControl w:val="1"/>
      </w:pPr>
    </w:p>
    <w:p>
      <w:pPr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卡面须同时产出“已获得彩色态”和“未获得石膏态”。同一用户当天连续抽中同一张卡时，第三次起降低该卡权重。</w:t>
      </w:r>
    </w:p>
    <w:p>
      <w:pPr>
        <w:pStyle w:val="Heading2"/>
        <w:widowControl w:val="1"/>
      </w:pPr>
      <w:r>
        <w:t>5.4 奖励档位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2600"/>
        <w:gridCol w:w="3100"/>
        <w:gridCol w:w="1960"/>
      </w:tblGrid>
      <w:tr>
        <w:trPr>
          <w:tblHeader w:val="true"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解锁条件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奖励</w:t>
            </w:r>
          </w:p>
        </w:tc>
        <w:tc>
          <w:tcPr>
            <w:tcW w:type="dxa" w:w="3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领取规则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状态</w:t>
            </w:r>
          </w:p>
        </w:tc>
      </w:tr>
      <w:tr>
        <w:trPr/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集齐 2 种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 元夜食券</w:t>
            </w:r>
          </w:p>
        </w:tc>
        <w:tc>
          <w:tcPr>
            <w:tcW w:type="dxa" w:w="3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每用户限领 1 次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</w:t>
            </w:r>
          </w:p>
        </w:tc>
      </w:tr>
      <w:tr>
        <w:trPr/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集齐 4 种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5 元夜食券</w:t>
            </w:r>
          </w:p>
        </w:tc>
        <w:tc>
          <w:tcPr>
            <w:tcW w:type="dxa" w:w="3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每用户限领 1 次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</w:t>
            </w:r>
          </w:p>
        </w:tc>
      </w:tr>
      <w:tr>
        <w:trPr/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集齐 7 种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43 元夜食券包</w:t>
            </w:r>
          </w:p>
        </w:tc>
        <w:tc>
          <w:tcPr>
            <w:tcW w:type="dxa" w:w="3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库存有限，先到先得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P0</w:t>
            </w:r>
          </w:p>
        </w:tc>
      </w:tr>
      <w:tr>
        <w:trPr/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集齐 9 种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小马黄金转运珠</w:t>
            </w:r>
          </w:p>
        </w:tc>
        <w:tc>
          <w:tcPr>
            <w:tcW w:type="dxa" w:w="3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需填写收货信息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库存/发放待确认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5.5 关键规则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重复卡可累计，赠送后从赠送方库存扣减 1 张；已用于解锁的种类状态不回退。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好友领取链接 24 小时有效，每张卡只可被领取一次。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实物奖励领取时必须二次确认手机号与收货地址，并展示隐私说明。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优惠券到账失败时自动重试；连续失败进入人工补发队列。</w:t>
      </w:r>
    </w:p>
    <w:p>
      <w:pPr>
        <w:pStyle w:val="Heading1"/>
        <w:widowControl w:val="1"/>
      </w:pPr>
      <w:r>
        <w:t>6. 页面结构与交互需求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2200"/>
        <w:gridCol w:w="3500"/>
        <w:gridCol w:w="1860"/>
      </w:tblGrid>
      <w:tr>
        <w:trPr>
          <w:tblHeader w:val="true"/>
        </w:trPr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页面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页面目标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核心模块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主要出口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活动主会场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承接流量并推动抽卡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KV、倒计时、抽卡、卡册进度、奖励档位、任务、话题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开卡结算 / 卡册 / 奖品 / 规则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开卡结算页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展示抽卡结果并强化获得感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卡片 3D 动效、稀有度、重复数量、继续抽卡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主会场 / 卡册 / 赠送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我的夜食（卡册）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管理卡片与赠送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9 张卡槽、彩色/石膏态、数量、赠送按钮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好友分享 / 主会场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兑奖弹窗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完成奖励领取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解锁条件、奖品信息、确认、失败重试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我的奖品 / 主会场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活动规则</w:t>
            </w:r>
          </w:p>
        </w:tc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降低理解与合规风险</w:t>
            </w:r>
          </w:p>
        </w:tc>
        <w:tc>
          <w:tcPr>
            <w:tcW w:type="dxa" w:w="3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时间、参与资格、任务、奖励、隐私、客服</w:t>
            </w:r>
          </w:p>
        </w:tc>
        <w:tc>
          <w:tcPr>
            <w:tcW w:type="dxa" w:w="1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返回来源页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6.1 主会场自上而下结构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头图 KV：活动标题、IP 小马、夏日夜宵氛围；右上角固定“分享 / 规则”。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核心抽卡区：剩余次数、主按钮、我的夜食、我的奖品。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集卡进度区：9 张卡片、已集种类数、下一档奖励提示。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奖励档位区：2 / 4 / 7 / 9 种四档奖励与领取状态。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任务区：首次进入、投稿、赠送、浏览商家、接金豆。</w:t>
      </w:r>
    </w:p>
    <w:p>
      <w:pPr>
        <w:pStyle w:val="ListParagraph"/>
        <w:numPr>
          <w:ilvl w:val="0"/>
          <w:numId w:val="12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话题与底部区：UGC 内容、合作说明、活动声明与页脚标识。</w:t>
      </w:r>
    </w:p>
    <w:p>
      <w:pPr>
        <w:pStyle w:val="Heading2"/>
        <w:widowControl w:val="1"/>
      </w:pPr>
      <w:r>
        <w:t>6.2 异常与空状态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抽卡次数为 0：主按钮切换为“做任务赚次数”，点击定位任务区。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奖励库存耗尽：展示“已抢光”，不再允许提交领取。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网络失败：保留用户操作上下文，支持原地重试。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活动结束：停止新增抽卡，保留奖品查询至兑换截止日。</w:t>
      </w:r>
    </w:p>
    <w:p>
      <w:pPr>
        <w:pStyle w:val="Heading1"/>
        <w:widowControl w:val="1"/>
      </w:pPr>
      <w:r>
        <w:t>7. 视觉风格与小马 IP 规范</w:t>
      </w:r>
    </w:p>
    <w:p>
      <w:pPr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整体视觉采用“盛夏夜市 + 软萌 3D 玩具”方向：高饱和暖红、橙黄与少量青绿，背景有霓虹、蒸汽和食物光泽；信息层级必须清晰，避免纯海报化导致按钮不可识别。</w:t>
      </w:r>
    </w:p>
    <w:p>
      <w:pPr>
        <w:pStyle w:val="Heading2"/>
        <w:widowControl w:val="1"/>
      </w:pPr>
      <w:r>
        <w:t>7.1 小马 IP 必须保留的识别特征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红色一体式身体，比例短胖，头身比约 1:1。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大面积奶油色口鼻，双鼻孔清晰；半眯眼、略带拽感的表情。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深棕色毛绒鬃毛与尾巴，额前有大块蓬松刘海。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短手短脚，奶油色手掌与鞋状脚部；材质为亮面软胶身体 + 毛绒鬃毛。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禁止改成写实马、长腿运动员、球衣吉祥物或五官过度幼态。</w:t>
      </w:r>
    </w:p>
    <w:p>
      <w:pPr>
        <w:pStyle w:val="Heading2"/>
        <w:widowControl w:val="1"/>
      </w:pPr>
      <w:r>
        <w:t>7.2 多版本要求</w:t>
      </w:r>
    </w:p>
    <w:p>
      <w:pPr>
        <w:spacing w:before="120" w:after="200" w:line="276" w:lineRule="auto"/>
        <w:ind w:left="173" w:right="115"/>
        <w:shd w:fill="FFF7E6"/>
        <w:pBdr>
          <w:left w:val="single" w:sz="18" w:space="6" w:color="7A5A00"/>
        </w:pBdr>
        <w:widowControl w:val="1"/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素材选择机制  </w:t>
      </w:r>
      <w:r>
        <w:rPr>
          <w:rFonts w:ascii="Arial Unicode MS" w:hAnsi="Arial Unicode MS" w:eastAsia="Arial Unicode MS"/>
          <w:color w:val="1F2937"/>
          <w:sz w:val="21"/>
        </w:rPr>
        <w:t>关键素材至少生成 3 个版本，并在素材详情右侧展示缩略图；用户可点击设为当前选定版本，后续合成只使用被选中的版本。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1200"/>
        <w:gridCol w:w="3400"/>
        <w:gridCol w:w="2460"/>
      </w:tblGrid>
      <w:tr>
        <w:trPr>
          <w:tblHeader w:val="true"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素材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版本数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差异方向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首发要求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头图 KV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夜市霓虹 / 食物盛宴 / IP 特写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活动标题字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手写爆炸字 / 立体发光字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主抽卡按钮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红金 / 橙黄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集卡面板底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深夜摊位 / 夏日餐桌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三档奖励卡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券包突出 / IP 突出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沸腾火锅卡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铜锅 / 砂锅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建议</w:t>
            </w:r>
          </w:p>
        </w:tc>
      </w:tr>
      <w:tr>
        <w:trPr/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小马 IP 主视觉</w:t>
            </w:r>
          </w:p>
        </w:tc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3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正面站姿 / 抱奖品 / 抽卡动作</w:t>
            </w:r>
          </w:p>
        </w:tc>
        <w:tc>
          <w:tcPr>
            <w:tcW w:type="dxa" w:w="24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必须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8. 素材生产清单（26 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1000"/>
        <w:gridCol w:w="4300"/>
        <w:gridCol w:w="2160"/>
      </w:tblGrid>
      <w:tr>
        <w:trPr>
          <w:tblHeader w:val="true"/>
        </w:trPr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分组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数量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素材明细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规格建议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主视觉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头图 KV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1125×720，WebP/PNG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品牌与标题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活动标题字、开卡标题、页脚字标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透明底 PNG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交互组件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主按钮、左入口、右入口、集卡面板底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透明底/九宫格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奖励档位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一档、二档、三档、四档、兑换红包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透明底 PNG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9 张卡面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C01–C09，每张彩色态 + 石膏态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1:1，至少 512px</w:t>
            </w:r>
          </w:p>
        </w:tc>
      </w:tr>
      <w:tr>
        <w:trPr/>
        <w:tc>
          <w:tcPr>
            <w:tcW w:type="dxa" w:w="19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下半屏分区</w:t>
            </w:r>
          </w:p>
        </w:tc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任务区、话题区、底部 banner、金豆条</w:t>
            </w:r>
          </w:p>
        </w:tc>
        <w:tc>
          <w:tcPr>
            <w:tcW w:type="dxa" w:w="2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按模块宽度输出</w:t>
            </w:r>
          </w:p>
        </w:tc>
      </w:tr>
    </w:tbl>
    <w:p>
      <w:pPr>
        <w:spacing w:after="40"/>
        <w:widowControl w:val="1"/>
      </w:pPr>
    </w:p>
    <w:p>
      <w:pPr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所有图片进入素材库后必须记录：素材名称、用途、尺寸、生成提示词、版本号、当前选定版本、创建时间与替换历史。</w:t>
      </w:r>
    </w:p>
    <w:p>
      <w:pPr>
        <w:pStyle w:val="Heading1"/>
        <w:widowControl w:val="1"/>
      </w:pPr>
      <w:r>
        <w:t>9. 数据模型与可配置项</w:t>
      </w:r>
    </w:p>
    <w:p>
      <w:pPr>
        <w:pStyle w:val="Heading2"/>
        <w:widowControl w:val="1"/>
      </w:pPr>
      <w:r>
        <w:t>9.1 核心数据实体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实体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关键字段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用途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Activity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id、name、start_at、end_at、status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活动基础信息与状态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User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uid、eligibility、region、risk_level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参与资格与风控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Card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card_id、name、rarity、weight、asset_url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卡池配置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Inventory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uid、card_id、count、updated_at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用户卡片库存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DrawLog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draw_id、uid、source、card_id、created_at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抽卡结果与审计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Reward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reward_id、threshold、stock、validity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奖励档位与库存</w:t>
            </w:r>
          </w:p>
        </w:tc>
      </w:tr>
      <w:tr>
        <w:trPr/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Claim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claim_id、uid、reward_id、status、code</w:t>
            </w:r>
          </w:p>
        </w:tc>
        <w:tc>
          <w:tcPr>
            <w:tcW w:type="dxa" w:w="28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领奖与补发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9.2 运营后台可配置项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活动时间、兑换截止时间、倒计时文案。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9 张卡片的抽中权重、稀有度与重复衰减规则。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任务开关、每日上限、奖励次数与跳转链接。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四档奖励的名称、门槛、库存、券码与发放方式。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素材版本与当前选定版本，不需要重新发版即可替换。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规则文案、隐私说明、客服入口和风险提示。</w:t>
      </w:r>
    </w:p>
    <w:p>
      <w:pPr>
        <w:pStyle w:val="Heading1"/>
        <w:widowControl w:val="1"/>
      </w:pPr>
      <w:r>
        <w:t>10. 埋点、性能与合规</w:t>
      </w:r>
    </w:p>
    <w:p>
      <w:pPr>
        <w:pStyle w:val="Heading2"/>
        <w:widowControl w:val="1"/>
      </w:pPr>
      <w:r>
        <w:t>10.1 关键埋点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事件名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触发时机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9"/>
              </w:rPr>
              <w:t>关键参数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activity_view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主会场曝光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uid、source、stage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draw_click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点击抽卡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remain_count、task_source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draw_result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抽卡结果返回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card_id、rarity、is_duplicate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reward_unlock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达到奖励门槛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threshold、reward_id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reward_claim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提交领奖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reward_id、status、fail_reason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card_gift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赠送或领取卡片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card_id、role、status</w:t>
            </w:r>
          </w:p>
        </w:tc>
      </w:tr>
      <w:tr>
        <w:trPr/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asset_version_select</w:t>
            </w:r>
          </w:p>
        </w:tc>
        <w:tc>
          <w:tcPr>
            <w:tcW w:type="dxa" w:w="3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选择素材版本</w:t>
            </w:r>
          </w:p>
        </w:tc>
        <w:tc>
          <w:tcPr>
            <w:tcW w:type="dxa" w:w="37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asset_id、version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10.2 非功能要求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首屏在 4G 网络下 3 秒内可交互；首屏关键图片单张不超过 300 KB。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支持主流 iOS / Android WebView，适配 375–430px 宽度。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抽卡接口必须幂等，弱网重试不得重复扣次数或重复发奖。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手机号和地址只在领奖所需范围内收集，按隐私策略脱敏展示。</w:t>
      </w:r>
    </w:p>
    <w:p>
      <w:pPr>
        <w:pStyle w:val="ListParagraph"/>
        <w:numPr>
          <w:ilvl w:val="0"/>
          <w:numId w:val="10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命中奖励、赠送和领奖接口接入反作弊与频控。</w:t>
      </w:r>
    </w:p>
    <w:p>
      <w:pPr>
        <w:pStyle w:val="Heading1"/>
        <w:widowControl w:val="1"/>
      </w:pPr>
      <w:r>
        <w:t>11.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000"/>
        <w:gridCol w:w="2400"/>
        <w:gridCol w:w="4300"/>
        <w:gridCol w:w="1660"/>
      </w:tblGrid>
      <w:tr>
        <w:trPr>
          <w:tblHeader w:val="true"/>
        </w:trPr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编号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验收项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通过标准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优先级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AC-01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首页文档上传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支持 DOC/DOCX/PDF/MD/TXT，上传后显示真实文件名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AC-02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需求解析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识别 3 个候选玩法、9 张卡、4 档奖励与 5 个页面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AC-03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主会场框架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所有核心模块有明确位置且可进入编辑态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AC-04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抽卡链路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扣次数、展示卡、写库存、更新进度全链路正确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AC-05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奖励解锁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2/4/7/9 种分别解锁对应档位，不重复发奖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AC-06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好友赠送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链接有效期、库存扣减、领取状态符合规则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AC-07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素材多版本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详情右侧展示版本，选择后主图和合成结果同步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AC-08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页面切换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右侧顶部使用组件下拉，可切换 5 个活动页面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AC-09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异常恢复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弱网重试不重复扣次数、不重复发奖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AC-10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响应式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375–430px 宽度下无横向溢出、无遮挡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AC-11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埋点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关键事件参数完整且可在测试环境核对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</w:tr>
      <w:tr>
        <w:trPr/>
        <w:tc>
          <w:tcPr>
            <w:tcW w:type="dxa" w:w="1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AC-12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回放</w:t>
            </w:r>
          </w:p>
        </w:tc>
        <w:tc>
          <w:tcPr>
            <w:tcW w:type="dxa" w:w="4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可从首页完整回放：解析→框架→素材→成品</w:t>
            </w:r>
          </w:p>
        </w:tc>
        <w:tc>
          <w:tcPr>
            <w:tcW w:type="dxa" w:w="16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</w:tr>
    </w:tbl>
    <w:p>
      <w:pPr>
        <w:spacing w:after="40"/>
        <w:widowControl w:val="1"/>
      </w:pPr>
    </w:p>
    <w:p>
      <w:pPr>
        <w:pStyle w:val="Heading1"/>
        <w:widowControl w:val="1"/>
      </w:pPr>
      <w:r>
        <w:t>12. 待确认事项与 AI 工坊模拟要求</w:t>
      </w:r>
    </w:p>
    <w:p>
      <w:pPr>
        <w:pStyle w:val="Heading2"/>
        <w:widowControl w:val="1"/>
      </w:pPr>
      <w:r>
        <w:t>12.1 待确认事项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00"/>
        <w:gridCol w:w="2100"/>
        <w:gridCol w:w="2000"/>
        <w:gridCol w:w="1960"/>
      </w:tblGrid>
      <w:tr>
        <w:trPr>
          <w:tblHeader w:val="true"/>
        </w:trPr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事项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当前状态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负责人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0F2F52"/>
                <w:sz w:val="18"/>
              </w:rPr>
              <w:t>是否阻塞搭建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核销、话题、参与和投稿指标中的 xx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待业务回填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运营 / 数据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 元 / 5 元券面额度终审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待商务确认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商务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43 元券包具体构成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待商家确认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商务 / 商家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小马黄金转运珠库存与发放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待采购确认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采购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否，先用占位配置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收官期兑换截止时间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文档未定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 / 运营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投稿任务首发或二期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依赖内容排期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内容运营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否，默认二期</w:t>
            </w:r>
          </w:p>
        </w:tc>
      </w:tr>
      <w:tr>
        <w:trPr/>
        <w:tc>
          <w:tcPr>
            <w:tcW w:type="dxa" w:w="3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规则页法务终审</w:t>
            </w:r>
          </w:p>
        </w:tc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待送审</w:t>
            </w:r>
          </w:p>
        </w:tc>
        <w:tc>
          <w:tcPr>
            <w:tcW w:type="dxa" w:w="20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法务</w:t>
            </w:r>
          </w:p>
        </w:tc>
        <w:tc>
          <w:tcPr>
            <w:tcW w:type="dxa" w:w="1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上线前阻塞</w:t>
            </w:r>
          </w:p>
        </w:tc>
      </w:tr>
    </w:tbl>
    <w:p>
      <w:pPr>
        <w:spacing w:after="40"/>
        <w:widowControl w:val="1"/>
      </w:pPr>
    </w:p>
    <w:p>
      <w:pPr>
        <w:pStyle w:val="Heading2"/>
        <w:widowControl w:val="1"/>
      </w:pPr>
      <w:r>
        <w:t>12.2 AI 工坊 0→1 模拟要求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上传本文件后，先输出结构化解析结果，不直接生成最终页面。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解析阶段允许用户确认主玩法、奖励门槛、页面范围与待确认项。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确认后先生成无视觉的页面框架，用户确认结构后再生产素材。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素材阶段生成 26 项素材；关键素材应有多个版本，并支持在素材详情内选定版本。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最后把选定素材合成到可交互 H5，保留 5 个页面的组件式下拉切换。</w:t>
      </w:r>
    </w:p>
    <w:p>
      <w:pPr>
        <w:pStyle w:val="ListParagraph"/>
        <w:numPr>
          <w:ilvl w:val="0"/>
          <w:numId w:val="13"/>
        </w:numPr>
        <w:spacing w:after="160" w:line="280" w:lineRule="auto"/>
        <w:widowControl w:val="1"/>
      </w:pPr>
      <w:r>
        <w:rPr>
          <w:rFonts w:ascii="Arial Unicode MS" w:hAnsi="Arial Unicode MS" w:eastAsia="Arial Unicode MS"/>
          <w:color w:val="1F2937"/>
          <w:sz w:val="22"/>
        </w:rPr>
        <w:t>整个过程在会话中保留真实文档名、阶段卡片和用户确认记录，可重新回放。</w:t>
      </w:r>
    </w:p>
    <w:p>
      <w:pPr>
        <w:spacing w:before="120" w:after="200" w:line="276" w:lineRule="auto"/>
        <w:ind w:left="173" w:right="115"/>
        <w:shd w:fill="EAF2F8"/>
        <w:pBdr>
          <w:left w:val="single" w:sz="18" w:space="6" w:color="2E74B5"/>
        </w:pBdr>
        <w:widowControl w:val="1"/>
      </w:pPr>
      <w:r>
        <w:rPr>
          <w:rFonts w:ascii="Arial Unicode MS" w:hAnsi="Arial Unicode MS" w:eastAsia="Arial Unicode MS"/>
          <w:b/>
          <w:color w:val="2E74B5"/>
          <w:sz w:val="21"/>
        </w:rPr>
        <w:t xml:space="preserve">本次模拟完成定义  </w:t>
      </w:r>
      <w:r>
        <w:rPr>
          <w:rFonts w:ascii="Arial Unicode MS" w:hAnsi="Arial Unicode MS" w:eastAsia="Arial Unicode MS"/>
          <w:color w:val="1F2937"/>
          <w:sz w:val="21"/>
        </w:rPr>
        <w:t>用户能从首页上传该 DOCX，依次看到需求解析、活动方案、界面结构、视觉素材与最终 H5，并可继续更换素材版本或调整活动配置。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/>
        <w:color w:val="64748B"/>
        <w:sz w:val="18"/>
      </w:rPr>
      <w:t xml:space="preserve">第 </w:t>
    </w:r>
    <w:r>
      <w:rPr>
        <w:rFonts w:ascii="Arial Unicode MS" w:hAnsi="Arial Unicode MS" w:eastAsia="Arial Unicode MS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4748B"/>
        <w:sz w:val="18"/>
      </w:rPr>
      <w:t xml:space="preserve"> 页  ·  这夏夯爆了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200"/>
      <w:gridCol w:w="3160"/>
    </w:tblGrid>
    <w:tr>
      <w:trPr>
        <w:tblHeader w:val="true"/>
      </w:trPr>
      <w:tc>
        <w:tcPr>
          <w:tcW w:type="dxa" w:w="620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Arial Unicode MS" w:hAnsi="Arial Unicode MS" w:eastAsia="Arial Unicode MS"/>
              <w:b/>
              <w:color w:val="64748B"/>
              <w:sz w:val="17"/>
            </w:rPr>
            <w:t>抖音 AI 工坊 · 活动需求文档</w:t>
          </w:r>
        </w:p>
      </w:tc>
      <w:tc>
        <w:tcPr>
          <w:tcW w:type="dxa" w:w="316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/>
              <w:b w:val="0"/>
              <w:color w:val="64748B"/>
              <w:sz w:val="17"/>
            </w:rPr>
            <w:t>内部沟通版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2F5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64748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 w:line="280" w:lineRule="auto"/>
      <w:ind w:left="720"/>
      <w:contextualSpacing/>
    </w:pPr>
    <w:rPr>
      <w:rFonts w:ascii="Arial Unicode MS" w:hAnsi="Arial Unicode MS" w:eastAsia="Arial Unicode MS"/>
      <w:b w:val="0"/>
      <w:color w:val="1F2937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这夏夯爆了项目策划-内部沟通版</dc:title>
  <dc:subject>夏日夜宵集卡营销活动产品需求文档</dc:subject>
  <dc:creator>抖音 AI 工坊</dc:creator>
  <cp:keywords>这夏夯爆了, 营销H5, 集卡, 小马IP, 活动需求</cp:keywords>
  <dc:description>用于 AI 工坊 0→1 搭建模拟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