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Исходный документ: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[SPEC][1]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contextualSpacing w:val="0"/>
        <w:rPr>
          <w:color w:val="000000"/>
          <w:sz w:val="24"/>
          <w:szCs w:val="24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[SPEC][11] Виды и классы устройств. Группы элементов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Спецификация</w:t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Формат файла equipmentProfile.xml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ind w:firstLine="70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8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параметров устройства (тег equipmentProfile)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валов устройства (тег shaft)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подшипников вала (тег bearing)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соединений устройства (тег connection)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электродвигателя устройства (тег motor)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вентиляторов устройства (тег fan)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xtq3skt5oo8j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Описание групп элементов устройства (тег group)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Примеры описания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80" w:before="200" w:line="240" w:lineRule="auto"/>
        <w:ind w:left="0" w:firstLine="0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709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Описание параметров устройства (тег </w:t>
      </w:r>
      <w:r w:rsidDel="00000000" w:rsidR="00000000" w:rsidRPr="00000000">
        <w:rPr>
          <w:color w:val="0000ff"/>
          <w:rtl w:val="0"/>
        </w:rPr>
        <w:t xml:space="preserve">equipmentProfile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 устройства заносятся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 файла equipmentProfile.xml (далее файл). Все параметры записываются в двойных кавычках (см. Пример 1).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 содержит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standard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equipmentPower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equipmentSupport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и теги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4"/>
        <w:gridCol w:w="7034"/>
        <w:tblGridChange w:id="0">
          <w:tblGrid>
            <w:gridCol w:w="2594"/>
            <w:gridCol w:w="7034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equipmentDataPoints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Номера всех точек съема в схеме.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standard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Признак стандартного профиля устройства (для стандартного профиля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standard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"true"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профиля устройства.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"standard"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 формата файла.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"3.3.0"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Идентификационный номер файла, уникален для каждого описываемого файла и модификаций. (состоит из восьми десятичных цифр от 0 до 9).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"12345678"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equipmentName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устройства.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"exampleStend"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equipmentClass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класс устройства. Параметры разделяются двоеточием: вид устройства записывается до двоеточия, класс – после. Если класс устройства отсутствует или неизвестен, то записывается только вид.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equipmentClass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"turbine:steam"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equipmentPower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Выходная мощность устройства, кВт.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equipmentPower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"300"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equipmentSupport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жесткости опоры (жесткие -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rigid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податливые -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flexible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equipmentSupport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"flexible"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файла.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shaft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Описания валов устройства.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Описания соединений элементов в устройстве.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электродвигателя устройства.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fan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вентиляторов устройства.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групп элементов устройства.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709"/>
        <w:contextualSpacing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Описание валов устройства (тег </w:t>
      </w:r>
      <w:r w:rsidDel="00000000" w:rsidR="00000000" w:rsidRPr="00000000">
        <w:rPr>
          <w:color w:val="0000ff"/>
          <w:rtl w:val="0"/>
        </w:rPr>
        <w:t xml:space="preserve">shaft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Вал устройства описывается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вложенном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. Если нужно указать несколько валов, то для каждого вала необходимо создать отдельный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mainShaft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speedCollection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sz w:val="24"/>
          <w:szCs w:val="24"/>
          <w:rtl w:val="0"/>
        </w:rPr>
        <w:t xml:space="preserve"> и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00000000002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1"/>
        <w:gridCol w:w="6849.000000000001"/>
        <w:tblGridChange w:id="0">
          <w:tblGrid>
            <w:gridCol w:w="2781"/>
            <w:gridCol w:w="6849.000000000001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mainShaft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Признак основного вала устройства (для основного вала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Данный атрибут указывается только для основного вала устройства.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mainShaft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"true"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speedCollection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Скорости вращения вала, оборотов в минуту.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speedCollection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"1000"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элемента согласно с кинематической схемой.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Разрешить/запретить анализа элемента (разрешить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запретить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 и тип элемента. Параметры разделяются двоеточием: класс записывается до двоеточия, тип – после. Если типизация элемента отсутствует, то записывается только класс.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группы, в которую входит элемент. Номер группы указывается через знак нижнего подчеркивания. Если элемент не входит ни в одну из групп, то указывается пустое поле.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"windTurbineRotor_001"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точки снятия данных. Если точек несколько, то каждая точка указывается через запятую.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"1,3"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элемента на кинематической схеме.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X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"595"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Y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"1104"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"41"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наклона элемента на кинематической схеме,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bearing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подшипника вала.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Описание подшипников вала (тег </w:t>
      </w:r>
      <w:r w:rsidDel="00000000" w:rsidR="00000000" w:rsidRPr="00000000">
        <w:rPr>
          <w:color w:val="0000ff"/>
          <w:rtl w:val="0"/>
        </w:rPr>
        <w:t xml:space="preserve">bearing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Подшипники вала описываются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, вложенном в тег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 вала, к которому относятся. Если нужно указать несколько подшипников, то для каждого подшипника необходимо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 создать отдельный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supporting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подшипника качения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00000000002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1"/>
        <w:gridCol w:w="6849.000000000001"/>
        <w:tblGridChange w:id="0">
          <w:tblGrid>
            <w:gridCol w:w="2781"/>
            <w:gridCol w:w="6849.000000000001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supporting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Признак основного вала устройства (для основного вала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Данный атрибут указывается только для основного вала устройства.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supporting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"true"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элемента согласно с кинематической схемой.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"bearing001"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Разрешить/запретить анализа элемента (разрешить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запретить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 и тип элемента. Параметры разделяются двоеточием: класс записывается до двоеточия, тип – после. Если типизация элемента отсутствует, то записывается только класс.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"rollingBearing:deepGrooveBallBearing"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группы, в которую входит элемент. Номер группы указывается через знак нижнего подчеркивания. Если элемент не входит ни в одну из групп, то указывается пустое поле.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"windTurbineRotor_001"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точки снятия данных. Если точек несколько, то каждая точка указывается через запятую.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"1,3"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Модель подшипника.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"6205"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тел качения (Number of balls or rollers) подшипника качения.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Nb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"6205"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Диаметра тела качения (Ball or roller diameter) подшипника качения.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Bd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"7.925"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Pd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Диаметр сепаратора (Pitch diameter) подшипника качения.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Pd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"39"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angle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контакта тел качения подшипника качения,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angle=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элемента на кинематической схеме.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X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"595"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Y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"1104"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"41"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наклона элемента на кинематической схеме,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contextualSpacing w:val="0"/>
        <w:jc w:val="left"/>
        <w:rPr/>
      </w:pPr>
      <w:bookmarkStart w:colFirst="0" w:colLast="0" w:name="_6scommiahh1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sz w:val="24"/>
          <w:szCs w:val="24"/>
          <w:rtl w:val="0"/>
        </w:rPr>
        <w:t xml:space="preserve"> нужно указывать в одинаковых единицах измерения.</w:t>
      </w:r>
    </w:p>
    <w:p w:rsidR="00000000" w:rsidDel="00000000" w:rsidP="00000000" w:rsidRDefault="00000000" w:rsidRPr="00000000" w14:paraId="00000096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подшипника скольжения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"plainBearing"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bearing</w:t>
      </w:r>
      <w:r w:rsidDel="00000000" w:rsidR="00000000" w:rsidRPr="00000000">
        <w:rPr>
          <w:sz w:val="24"/>
          <w:szCs w:val="24"/>
          <w:rtl w:val="0"/>
        </w:rPr>
        <w:t xml:space="preserve"> не указывается дополнительные атрибуты. Структура повторяет подшипник качения, за исключением атрибутов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 </w:t>
      </w:r>
      <w:r w:rsidDel="00000000" w:rsidR="00000000" w:rsidRPr="00000000">
        <w:rPr>
          <w:sz w:val="24"/>
          <w:szCs w:val="24"/>
          <w:rtl w:val="0"/>
        </w:rPr>
        <w:t xml:space="preserve">(при описании подшипника не указываются).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ind w:firstLine="709"/>
        <w:contextualSpacing w:val="0"/>
        <w:jc w:val="center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 Описание соединений устройства (тег </w:t>
      </w:r>
      <w:r w:rsidDel="00000000" w:rsidR="00000000" w:rsidRPr="00000000">
        <w:rPr>
          <w:color w:val="0000ff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Соединения элементов в устройстве описывается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вложенном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. Если нужно указать несколько соединения элементов, то для каждого соединения необходимо создать отдельный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sz w:val="24"/>
          <w:szCs w:val="24"/>
          <w:rtl w:val="0"/>
        </w:rPr>
        <w:t xml:space="preserve"> и 2 тега: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 (зависит от соединяемых элементов).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гладкого ремня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"smoothBelt"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beltLength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зубчатого ремня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"toothedBelt"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beltLength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планетарного редуктора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"planetaryStageGearbox"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teethNumberRingGear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00000000002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1"/>
        <w:gridCol w:w="6849.000000000001"/>
        <w:tblGridChange w:id="0">
          <w:tblGrid>
            <w:gridCol w:w="2781"/>
            <w:gridCol w:w="6849.000000000001"/>
          </w:tblGrid>
        </w:tblGridChange>
      </w:tblGrid>
      <w:t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элемента согласно с кинематической схемой.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"gearing001"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Разрешить/запретить анализа элемента (разрешить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запретить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 и тип элемента. Параметры разделяются двоеточием: класс записывается до двоеточия, тип – после. Если типизация элемента отсутствует, то записывается только класс.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"gearing"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соединение с помощью зубчатой передачи;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"smoothBelt"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соединение с помощью гладкого ремня.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группы, в которую входит элемент. Номер группы указывается через знак нижнего подчеркивания. Если элемент не входит ни в одну из групп, то указывается пустое поле.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"windTurbineRotor_001"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точки снятия данных. Если точек несколько, то каждая точка указывается через запятую.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"1,3"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beltLength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Длина гладкого/зубчатого ремня.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beltLength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"800"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зубьев на зубчатом ремне.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"100"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элемента на кинематической схеме.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X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"595"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Y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"1104"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"41"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наклона элемента на кинематической схеме,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shaft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параметров соединенного вала.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параметров соединенного электродвигателя.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fan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параметров соединенного вентилятора.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соединении с помощью зубчатой передачи теги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вложенные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включают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sz w:val="24"/>
          <w:szCs w:val="24"/>
          <w:rtl w:val="0"/>
        </w:rPr>
        <w:t xml:space="preserve"> (см. Пример 2, Пример 3).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6"/>
        <w:gridCol w:w="6932"/>
        <w:tblGridChange w:id="0">
          <w:tblGrid>
            <w:gridCol w:w="2696"/>
            <w:gridCol w:w="6932"/>
          </w:tblGrid>
        </w:tblGridChange>
      </w:tblGrid>
      <w:t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соединяемого элемента согласно с кинематической схемой.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"shaft002"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"motor001"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зубьев шестерни, установленной на соединяемый элемент.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"28"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соединении с помощью ременной передачи теги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вложенные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включают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</w:t>
      </w:r>
      <w:r w:rsidDel="00000000" w:rsidR="00000000" w:rsidRPr="00000000">
        <w:rPr>
          <w:sz w:val="24"/>
          <w:szCs w:val="24"/>
          <w:rtl w:val="0"/>
        </w:rPr>
        <w:t xml:space="preserve"> (см. Пример 4, Пример 5).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6"/>
        <w:gridCol w:w="6932"/>
        <w:tblGridChange w:id="0">
          <w:tblGrid>
            <w:gridCol w:w="2696"/>
            <w:gridCol w:w="6932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соединяемого элемента согласно с кинематической схемой.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"shaft002"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"motor001"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sheaveDiameter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Диаметр шкива, установленного на соединяемый элемент.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sheaveDiameter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"200"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beltLength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 </w:t>
      </w:r>
      <w:r w:rsidDel="00000000" w:rsidR="00000000" w:rsidRPr="00000000">
        <w:rPr>
          <w:sz w:val="24"/>
          <w:szCs w:val="24"/>
          <w:rtl w:val="0"/>
        </w:rPr>
        <w:t xml:space="preserve">нужно указывать в одинаковых единицах измерения.</w:t>
      </w:r>
    </w:p>
    <w:p w:rsidR="00000000" w:rsidDel="00000000" w:rsidP="00000000" w:rsidRDefault="00000000" w:rsidRPr="00000000" w14:paraId="000000DF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соединении с помощью планетарного редуктора теги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вложенные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включают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sz w:val="24"/>
          <w:szCs w:val="24"/>
          <w:rtl w:val="0"/>
        </w:rPr>
        <w:t xml:space="preserve">, а тег элемента, соединенного через сателлиты, содержит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planetWheelNumber </w:t>
      </w:r>
      <w:r w:rsidDel="00000000" w:rsidR="00000000" w:rsidRPr="00000000">
        <w:rPr>
          <w:sz w:val="24"/>
          <w:szCs w:val="24"/>
          <w:rtl w:val="0"/>
        </w:rPr>
        <w:t xml:space="preserve">(см. Пример 6, Пример 7).</w:t>
      </w:r>
    </w:p>
    <w:p w:rsidR="00000000" w:rsidDel="00000000" w:rsidP="00000000" w:rsidRDefault="00000000" w:rsidRPr="00000000" w14:paraId="000000E1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6"/>
        <w:gridCol w:w="6932"/>
        <w:tblGridChange w:id="0">
          <w:tblGrid>
            <w:gridCol w:w="2696"/>
            <w:gridCol w:w="6932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соединяемого элемента согласно с кинематической схемой.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"shaft002"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"motor001"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зубьев шестерни или одной сателлиты, установленной на соединяемый элемент.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teethNumber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"28"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planetWheelNumber </w:t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сателлит на соединяемом элементе.</w:t>
            </w:r>
          </w:p>
        </w:tc>
      </w:tr>
    </w:tbl>
    <w:p w:rsidR="00000000" w:rsidDel="00000000" w:rsidP="00000000" w:rsidRDefault="00000000" w:rsidRPr="00000000" w14:paraId="000000E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соединении с помощью муфты теги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shaft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вложенные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, включают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 (см. Пример 8, Пример 9).</w:t>
      </w:r>
    </w:p>
    <w:p w:rsidR="00000000" w:rsidDel="00000000" w:rsidP="00000000" w:rsidRDefault="00000000" w:rsidRPr="00000000" w14:paraId="000000EE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6"/>
        <w:gridCol w:w="6932"/>
        <w:tblGridChange w:id="0">
          <w:tblGrid>
            <w:gridCol w:w="2696"/>
            <w:gridCol w:w="6932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соединяемого элемента согласно с кинематической схемой.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"shaft002"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"motor001"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5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Описание электродвигателя устройства (тег </w:t>
      </w:r>
      <w:r w:rsidDel="00000000" w:rsidR="00000000" w:rsidRPr="00000000">
        <w:rPr>
          <w:color w:val="0000ff"/>
          <w:rtl w:val="0"/>
        </w:rPr>
        <w:t xml:space="preserve">motor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Электродвигатель устройства описывается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, вложенном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lineFrequency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barsNumber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polePairsNumber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sz w:val="24"/>
          <w:szCs w:val="24"/>
          <w:rtl w:val="0"/>
        </w:rPr>
        <w:t xml:space="preserve"> и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асинхронного электродвигателя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"inductionMotor"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barsNumber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polePairsNumber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синхронного электродвигателя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"synchronousMotor"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coilsNumber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описании электродвигателя постоянного тока (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"directCurrentMotor"</w:t>
      </w:r>
      <w:r w:rsidDel="00000000" w:rsidR="00000000" w:rsidRPr="00000000">
        <w:rPr>
          <w:sz w:val="24"/>
          <w:szCs w:val="24"/>
          <w:rtl w:val="0"/>
        </w:rPr>
        <w:t xml:space="preserve">)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 дополнительно указываются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collectorPlatesNumber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armatureTeethNumber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rectifierType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6825"/>
        <w:tblGridChange w:id="0">
          <w:tblGrid>
            <w:gridCol w:w="2805"/>
            <w:gridCol w:w="6825"/>
          </w:tblGrid>
        </w:tblGridChange>
      </w:tblGrid>
      <w:tr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элемента согласно с кинематической схемой.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"motor001"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Разрешить/запретить анализа элемента (разрешить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запретить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 и тип элемента. Параметры разделяются двоеточием: класс записывается до двоеточия, тип – после. Если типизация элемента отсутствует, то записывается только класс.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"inductionMotor"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группы, в которую входит элемент. Номер группы указывается через знак нижнего подчеркивания. Если элемент не входит ни в одну из групп, то указывается пустое поле.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"windTurbineRotor_001"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точки снятия данных. Если точек несколько, то каждая точка указывается через запятую.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"1,3"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Модель электродвигателя.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"АИР80B6"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lineFrequency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Линейная частота на входе электродвигателя, Гц.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lineFrequency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"32.61"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barsNumber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стержней ротора асинхронного электродвигателя.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barsNumber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polePairsNumber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пар полюсов асинхронного электродвигателя, электродвигателя постоянного тока.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polePairsNumber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coilsNumber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обмоток статора синхронного электродвигателя.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coilsNumber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collectorPlatesNumber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пластин коллектора электродвигателя постоянного тока.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collectorPlatesNumber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armatureTeethNumber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зубьев якоря электродвигателя постоянного тока.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armatureTeethNumber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ind w:left="0" w:firstLine="0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rectifierType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волнового выпрямителя электродвигателя постоянного тока (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full-wave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half-wave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Если тип выпрямителя неизвестен, то указывается пустой атрибут.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rectifierType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"full-wave"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элемента на кинематической схеме.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X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"595"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Y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"1104"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"41"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наклона элемента на кинематической схеме,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Соединение электродвигателя с элементами устройства.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joint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sz w:val="24"/>
          <w:szCs w:val="24"/>
          <w:rtl w:val="0"/>
        </w:rPr>
        <w:t xml:space="preserve"> – название элемента, соединенного с электродвигателем. При прямом соединении электродвигателя и вала в данном атрибуте указывается название вала. Пример записи: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sz w:val="24"/>
          <w:szCs w:val="24"/>
          <w:rtl w:val="0"/>
        </w:rPr>
        <w:t xml:space="preserve">. При соединении электродвигателя и вала с помощью соединительных элементов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) в данном атрибуте указывается название соединения и создается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(см. Описание соединений устройства). Пример записи: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"gearing002"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ind w:firstLine="709"/>
        <w:contextualSpacing w:val="0"/>
        <w:jc w:val="center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Описание вентиляторов устройства (тег </w:t>
      </w:r>
      <w:r w:rsidDel="00000000" w:rsidR="00000000" w:rsidRPr="00000000">
        <w:rPr>
          <w:color w:val="0000ff"/>
          <w:rtl w:val="0"/>
        </w:rPr>
        <w:t xml:space="preserve">fan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Вентилятор устройства описывается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, вложенном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. Если нужно указать несколько вентиляторов, то для каждого вентилятора необходимо создать отдельный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bladesNumber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sz w:val="24"/>
          <w:szCs w:val="24"/>
          <w:rtl w:val="0"/>
        </w:rPr>
        <w:t xml:space="preserve"> и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95"/>
        <w:tblGridChange w:id="0">
          <w:tblGrid>
            <w:gridCol w:w="2835"/>
            <w:gridCol w:w="6795"/>
          </w:tblGrid>
        </w:tblGridChange>
      </w:tblGrid>
      <w:tr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элемента согласно с кинематической схемой.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schemeName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"fan001"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Разрешить/запретить анализа элемента (разрешить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запретить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elementProcessingEnable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 и тип элемента. Параметры разделяются двоеточием: класс записывается до двоеточия, тип – после. Если типизация элемента отсутствует, то записывается только класс.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classType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"fan"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группы, в которую входит элемент. Номер группы указывается через знак нижнего подчеркивания. Если элемент не входит ни в одну из групп, то указывается пустое поле.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"windTurbineRotor_001"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точки снятия данных. Если точек несколько, то каждая точка указывается через запятую. Примеры: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"1,3"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Модель вентилятора.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"ВР120-28"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bladesNumber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лопастей (лезвий) вентилятора.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"16"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элемента на кинематической схеме.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imagePositionIndex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X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imageX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"595"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Координата центральной точки элемента по оси Y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imageWidth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"1104"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эллипса, описанного вокруг элемента на кинематической схеме, пикселей.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"41"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наклона элемента на кинематической схеме, градусов.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imageSlopeDegree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Соединение вентилятора с элементами устройства.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joint</w:t>
      </w:r>
      <w:r w:rsidDel="00000000" w:rsidR="00000000" w:rsidRPr="00000000">
        <w:rPr>
          <w:sz w:val="24"/>
          <w:szCs w:val="24"/>
          <w:rtl w:val="0"/>
        </w:rPr>
        <w:t xml:space="preserve"> включает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sz w:val="24"/>
          <w:szCs w:val="24"/>
          <w:rtl w:val="0"/>
        </w:rPr>
        <w:t xml:space="preserve"> – название элемента, соединенного с вентилятором. При прямом соединении вентилятора и вала в данном атрибуте указывается название вала. Пример записи: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sz w:val="24"/>
          <w:szCs w:val="24"/>
          <w:rtl w:val="0"/>
        </w:rPr>
        <w:t xml:space="preserve">. При соединении вентилятора и вала с помощью соединительных элементов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) в данном атрибуте указывается название соединения и создается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connection</w:t>
      </w:r>
      <w:r w:rsidDel="00000000" w:rsidR="00000000" w:rsidRPr="00000000">
        <w:rPr>
          <w:sz w:val="24"/>
          <w:szCs w:val="24"/>
          <w:rtl w:val="0"/>
        </w:rPr>
        <w:t xml:space="preserve"> (см. Описание соединений устройства). Пример записи: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"gearing002"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contextualSpacing w:val="0"/>
        <w:rPr/>
      </w:pPr>
      <w:bookmarkStart w:colFirst="0" w:colLast="0" w:name="_xtq3skt5oo8j" w:id="10"/>
      <w:bookmarkEnd w:id="10"/>
      <w:r w:rsidDel="00000000" w:rsidR="00000000" w:rsidRPr="00000000">
        <w:rPr>
          <w:rtl w:val="0"/>
        </w:rPr>
        <w:t xml:space="preserve">Описание групп элементов устройства (тег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элементов устройства описывается в теге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, вложенном в 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F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group </w:t>
      </w:r>
      <w:r w:rsidDel="00000000" w:rsidR="00000000" w:rsidRPr="00000000">
        <w:rPr>
          <w:sz w:val="24"/>
          <w:szCs w:val="24"/>
          <w:rtl w:val="0"/>
        </w:rPr>
        <w:t xml:space="preserve">включает основной атрибут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и дополнительные атрибуты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shaftHeight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machineAngle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bearingHousing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pumpCategory</w:t>
      </w:r>
      <w:r w:rsidDel="00000000" w:rsidR="00000000" w:rsidRPr="00000000">
        <w:rPr>
          <w:sz w:val="24"/>
          <w:szCs w:val="24"/>
          <w:rtl w:val="0"/>
        </w:rPr>
        <w:t xml:space="preserve"> в зависимости от вида и класса устройства (см.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[SPEC][11] Виды и классы устройств. Группы элементов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6825"/>
        <w:tblGridChange w:id="0">
          <w:tblGrid>
            <w:gridCol w:w="2805"/>
            <w:gridCol w:w="6825"/>
          </w:tblGrid>
        </w:tblGridChange>
      </w:tblGrid>
      <w:tr>
        <w:tc>
          <w:tcPr/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группы элементов.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"hydraulicTurbineRotor _001"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shaftHeight</w:t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Высота оси вращения вала согласно ISO 10816-3:2009(E), мм. Указывается для групп всех устройств. Пример: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shaftHeight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"315"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machineAngle</w:t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Угол расположения вала устройства (горизонтальный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horizontal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вертикальный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vertical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согласно ISO 10816-5:2000(E). Указывается для групп следующих устройств: гидравлические турбины, насосы на насосных станциях. Пример: 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machineAngle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"horizontal"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bearingHousing</w:t>
            </w:r>
          </w:p>
        </w:tc>
        <w:tc>
          <w:tcPr/>
          <w:p w:rsidR="00000000" w:rsidDel="00000000" w:rsidP="00000000" w:rsidRDefault="00000000" w:rsidRPr="00000000" w14:paraId="0000016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Опоры корпусов подшипников (фундамент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foundation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корпус –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casing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согласно ISO 10816-5:2000(E). Указывается для групп следующих устройств: гидравлические турбины, насосы на насосных станциях. Пример: 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bearingHousing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"foundation"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color w:val="b20000"/>
                <w:sz w:val="24"/>
                <w:szCs w:val="24"/>
              </w:rPr>
            </w:pP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pumpCategory</w:t>
            </w:r>
          </w:p>
        </w:tc>
        <w:tc>
          <w:tcPr/>
          <w:p w:rsidR="00000000" w:rsidDel="00000000" w:rsidP="00000000" w:rsidRDefault="00000000" w:rsidRPr="00000000" w14:paraId="0000016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Категория динамического насоса согласно ISO 10816-7:2009(E) (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Пример:   </w:t>
            </w:r>
            <w:r w:rsidDel="00000000" w:rsidR="00000000" w:rsidRPr="00000000">
              <w:rPr>
                <w:color w:val="b20000"/>
                <w:sz w:val="24"/>
                <w:szCs w:val="24"/>
                <w:rtl w:val="0"/>
              </w:rPr>
              <w:t xml:space="preserve">pumpCategory</w:t>
            </w:r>
            <w:r w:rsidDel="00000000" w:rsidR="00000000" w:rsidRPr="00000000">
              <w:rPr>
                <w:color w:val="b28c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color w:val="a020f0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F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ind w:firstLine="709"/>
        <w:contextualSpacing w:val="0"/>
        <w:jc w:val="cente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описания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1. Описания кинематической схемы устройства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Устройство состоит из двух валов, пяти подшипников, электродвигателя. Валы между собой соединены с помощью зубчатой передачи, электродвигатель установлен на основной вал.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7c"/>
          <w:sz w:val="24"/>
          <w:szCs w:val="24"/>
          <w:rtl w:val="0"/>
        </w:rPr>
        <w:t xml:space="preserve">&lt;?xml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7c"/>
          <w:sz w:val="24"/>
          <w:szCs w:val="24"/>
          <w:rtl w:val="0"/>
        </w:rPr>
        <w:t xml:space="preserve">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&lt;equipmentProfile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standard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"standard"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version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"3.3.0"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"exampleStend"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"motor"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equipmentPower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"300"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equipmentSupport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"flexible"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"The place to describe the equipment profile"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mainShaft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speedCollection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"595"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"315"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"1104"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&lt;bearing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supporting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"bearing001"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"rollingBearing:deepGrooveBallBearing"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"6205"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"7.925"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"146"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"315"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&lt;bearing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supporting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"bearing002"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"rollingBearing:deepGrooveBallBearing"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"6205"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"7.925"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"698"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"315"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&lt;bearing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"bearing003"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"rollingBearing:deepGrooveBallBearing"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"6213"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"16.6624"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"92.5"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"905"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"315"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&lt;/shaft&gt;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"1150"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"440"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"690"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&lt;bearing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supporting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"bearing004"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"rollingBearing:sphericalRollerBearing"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"23032 CC/W33"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"203.062"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"1029"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"649"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&lt;bearing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supporting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"true"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"bearing005"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"rollingBearing:sphericalRollerBearing"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"30234 X/DF"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Nb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"35.7"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Pd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"240.676"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angle=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"9"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"1271"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"231"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&lt;/shaft&gt;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 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"19"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"28"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&lt;motor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"motor001"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"inductionMotor"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"АИР80B6"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lineFrequency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"32.61, 48.92"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barsNumber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polePairsNumber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"422"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"315"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"345"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"207"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&lt;joint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jointElementSchemeName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&lt;/motor&gt;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&lt;/equipmentProfile&gt;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2. Описание соединения двух валов с помощью зубчатой передачи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"19"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"28"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3. Описание соединения электродвигателя и вала с помощью зубчатой передачи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"19"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&lt;motor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"motor001"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"28"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4. Описание соединения двух валов с помощью ременной передачи (гладкий ремень)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"belting001"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"smoothBelt"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beltLength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"800"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5. Описание соединения вентилятора и вала с помощью ременной передачи (зубчатый ремень)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"belting002"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"toothedBelt"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beltLength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"800"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&lt;fan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"fan001"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sheaveDiameter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6. Описание соединения двух валов с помощью планетарного редуктора (первый вал соединен через сателлиты)</w:t>
      </w:r>
    </w:p>
    <w:p w:rsidR="00000000" w:rsidDel="00000000" w:rsidP="00000000" w:rsidRDefault="00000000" w:rsidRPr="00000000" w14:paraId="000001AB">
      <w:pPr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306.0000000000001"/>
        <w:contextualSpacing w:val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"planetaryStageGearbox"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teethNumberRingGear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teethNumber=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planetWheelNumber=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teethNumber=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7. Описание соединения вентилятора и вала с помощью планетарного редуктора (вал соединен через сателлиты)</w:t>
      </w:r>
    </w:p>
    <w:p w:rsidR="00000000" w:rsidDel="00000000" w:rsidP="00000000" w:rsidRDefault="00000000" w:rsidRPr="00000000" w14:paraId="000001B2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216.00000000000009"/>
        <w:contextualSpacing w:val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"gearing002"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"planetaryStageGearbox"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teethNumberRingGear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"60"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teethNumber=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"10"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planetWheelNumber=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&lt;fan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"fan001"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 teethNumber=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"40"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</w:p>
    <w:p w:rsidR="00000000" w:rsidDel="00000000" w:rsidP="00000000" w:rsidRDefault="00000000" w:rsidRPr="00000000" w14:paraId="000001B7">
      <w:pPr>
        <w:ind w:firstLine="70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8. Описание соединения двух валов с помощью муфты</w:t>
      </w:r>
    </w:p>
    <w:p w:rsidR="00000000" w:rsidDel="00000000" w:rsidP="00000000" w:rsidRDefault="00000000" w:rsidRPr="00000000" w14:paraId="000001B9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"coupling001"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"coupling"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"shaft002"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0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9. Описание соединения электродвигателя и вала с помощью муфты</w:t>
      </w:r>
    </w:p>
    <w:p w:rsidR="00000000" w:rsidDel="00000000" w:rsidP="00000000" w:rsidRDefault="00000000" w:rsidRPr="00000000" w14:paraId="000001C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&lt;connection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"coupling002"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elementProcessingEnable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classType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"coupling"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equipmentDataPoint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"1,2"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imagePositionIndex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"8"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imageX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"1133"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imageY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"366"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imageWidth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"380"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imageHeight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"242"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imageSlopeDegree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"-60"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&lt;shaft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"shaft001"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&lt;motor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20000"/>
          <w:sz w:val="24"/>
          <w:szCs w:val="24"/>
          <w:rtl w:val="0"/>
        </w:rPr>
        <w:t xml:space="preserve">schemeName</w:t>
      </w:r>
      <w:r w:rsidDel="00000000" w:rsidR="00000000" w:rsidRPr="00000000">
        <w:rPr>
          <w:color w:val="b28c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a020f0"/>
          <w:sz w:val="24"/>
          <w:szCs w:val="24"/>
          <w:rtl w:val="0"/>
        </w:rPr>
        <w:t xml:space="preserve">"motor001"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&lt;/connection&gt;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440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widowControl w:val="0"/>
      <w:spacing w:before="720" w:line="276" w:lineRule="auto"/>
      <w:contextualSpacing w:val="0"/>
      <w:rPr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Editors: </w:t>
    </w:r>
    <w:r w:rsidDel="00000000" w:rsidR="00000000" w:rsidRPr="00000000">
      <w:rPr>
        <w:i w:val="1"/>
        <w:sz w:val="22"/>
        <w:szCs w:val="22"/>
        <w:rtl w:val="0"/>
      </w:rPr>
      <w:t xml:space="preserve">Riabtsev Petr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7">
    <w:pPr>
      <w:widowControl w:val="0"/>
      <w:spacing w:line="276" w:lineRule="auto"/>
      <w:contextualSpacing w:val="0"/>
      <w:rPr>
        <w:i w:val="1"/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Date: 06-03-2018</w:t>
    </w:r>
  </w:p>
  <w:p w:rsidR="00000000" w:rsidDel="00000000" w:rsidP="00000000" w:rsidRDefault="00000000" w:rsidRPr="00000000" w14:paraId="000001C8">
    <w:pPr>
      <w:widowControl w:val="0"/>
      <w:spacing w:line="276" w:lineRule="auto"/>
      <w:contextualSpacing w:val="0"/>
      <w:rPr>
        <w:i w:val="1"/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Version: 3.4.1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firstLine="709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firstLine="709"/>
      <w:jc w:val="center"/>
    </w:pPr>
    <w:rPr/>
  </w:style>
  <w:style w:type="table" w:styleId="Table1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gEAQ1eVdN4bIZJmjaLxB5R2F0wUPrwYGina8UVxT5o/edit?usp=sharing" TargetMode="External"/><Relationship Id="rId7" Type="http://schemas.openxmlformats.org/officeDocument/2006/relationships/hyperlink" Target="https://docs.google.com/document/d/1yR5EBY7NNY6Aq4K6EmMDjwoDGcYBQVNsQwlbmU1dfMM/edit?usp=sharing" TargetMode="External"/><Relationship Id="rId8" Type="http://schemas.openxmlformats.org/officeDocument/2006/relationships/hyperlink" Target="https://docs.google.com/document/d/1yR5EBY7NNY6Aq4K6EmMDjwoDGcYBQVNsQwlbmU1dfMM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