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сообщений “matlab - tcpip_socket”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для обмена данными по tcpip _socket имеют следующий формат: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“pid”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&lt;matlabPid&gt;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“event”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&lt;eventName&gt;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“data”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&lt;dataStruct&gt;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&lt;EOM&gt;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&lt;EOF&gt;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&lt;matlabPid&gt;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указывает ID процесса Matlab.</w:t>
      </w:r>
    </w:p>
    <w:p w:rsidR="00000000" w:rsidDel="00000000" w:rsidP="00000000" w:rsidRDefault="00000000" w:rsidRPr="00000000" w14:paraId="0000000F">
      <w:pPr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Метка &lt;EOM&gt; указывает на конец передаваемого сообщения.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Метка &lt;EOF&gt; указывает на завершение передачи сообщений.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- Виды событий и их передаваемые данные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dataStruct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“progress”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текущей стадии обработки вычислителя.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“progress”</w:t>
              <w:tab/>
              <w:t xml:space="preserve">: “5”,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“stage”</w:t>
              <w:tab/>
              <w:tab/>
              <w:t xml:space="preserve">: “Equipment parser”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&lt;progress&gt;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содержит информацию о стадии обработки в процентах, 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&lt;stage&gt;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указывает на текущий выполняемый этап.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“exception”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об ошибках, возникших во время вычислений.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“exception”</w:t>
              <w:tab/>
              <w:t xml:space="preserve">: “error”,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1440" w:hanging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“message”</w:t>
              <w:tab/>
              <w:t xml:space="preserve">: “There is no .wav files in the @In directory!”,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“code”</w:t>
              <w:tab/>
              <w:tab/>
              <w:t xml:space="preserve">: “0000”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&lt;exception&gt;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указывает на возможные исключения - ошибку (error) c сопроводительным сообщением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&lt;message&gt;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кодом ошибки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&lt;code&gt;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“warning”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предупреждениях, возникших во время вычислений.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“warning”</w:t>
              <w:tab/>
              <w:t xml:space="preserve">: “log”,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1440" w:hanging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“message”</w:t>
              <w:tab/>
              <w:t xml:space="preserve">: “Corrected frequency is not match”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“computeInfo”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дополнительную информацию о фреймворке: состоянии переменных, статусах и т.д.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“computeInfo”</w:t>
              <w:tab/>
              <w:t xml:space="preserve">: “log”,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“stage”</w:t>
              <w:tab/>
              <w:tab/>
              <w:t xml:space="preserve">: “Frequency correction”,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440" w:hanging="72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“message”</w:t>
              <w:tab/>
              <w:t xml:space="preserve">: “Frequency correction COMPLETE.”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&lt;stage&gt;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указывает на текущий выполняемый этап с сопроводительным сообщением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&lt;message&gt;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которое может заключать как служебное текстовое сообщение, так и состояние объектов.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Возможно, придется указывать объем отправляемого сообщения/ данных.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Yury,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27-09-2017</w:t>
    </w:r>
  </w:p>
  <w:p w:rsidR="00000000" w:rsidDel="00000000" w:rsidP="00000000" w:rsidRDefault="00000000" w:rsidRPr="00000000" w14:paraId="00000041">
    <w:pPr>
      <w:widowControl w:val="0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